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7.png" ContentType="image/png"/>
  <Override PartName="/word/media/rId113.png" ContentType="image/png"/>
  <Override PartName="/word/media/rId105.png" ContentType="image/png"/>
  <Override PartName="/word/media/rId96.png" ContentType="image/png"/>
  <Override PartName="/word/media/rId55.png" ContentType="image/png"/>
  <Override PartName="/word/media/rId61.png" ContentType="image/png"/>
  <Override PartName="/word/media/rId75.png" ContentType="image/png"/>
  <Override PartName="/word/media/rId80.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 and Fuel Loading with Varying Overstory Retention in Redwood Stands 10 Years after Transformation to Multiaged Management</w:t>
      </w:r>
    </w:p>
    <w:p>
      <w:pPr>
        <w:pStyle w:val="Author"/>
      </w:pPr>
      <w:r>
        <w:t xml:space="preserve">Judson Fisher</w:t>
      </w:r>
    </w:p>
    <w:p>
      <w:pPr>
        <w:pStyle w:val="Date"/>
      </w:pPr>
      <w:r>
        <w:t xml:space="preserve">November 7,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Forest managers practicing retention forestry in the west need data on</w:t>
      </w:r>
      <w:r>
        <w:t xml:space="preserve"> </w:t>
      </w:r>
      <w:r>
        <w:t xml:space="preserve">regeneration dynamics and hazardous fuels to design structures that are</w:t>
      </w:r>
      <w:r>
        <w:t xml:space="preserve"> </w:t>
      </w:r>
      <w:r>
        <w:t xml:space="preserve">productive and fire resilient. This analysis of the 10-year re-measure of the</w:t>
      </w:r>
      <w:r>
        <w:t xml:space="preserve"> </w:t>
      </w:r>
      <w:r>
        <w:t xml:space="preserve">redwood multi-aged experiment in the Jackson Demonstration State Forest in</w:t>
      </w:r>
      <w:r>
        <w:t xml:space="preserve"> </w:t>
      </w:r>
      <w:r>
        <w:t xml:space="preserve">Mendocino County, California, explores the regeneration response of several</w:t>
      </w:r>
      <w:r>
        <w:t xml:space="preserve"> </w:t>
      </w:r>
      <w:r>
        <w:t xml:space="preserve">species following different harvesting techniques including group selection</w:t>
      </w:r>
      <w:r>
        <w:t xml:space="preserve"> </w:t>
      </w:r>
      <w:r>
        <w:t xml:space="preserve">(GS), high-density aggregated retention (HA), and high/low density dispersed</w:t>
      </w:r>
      <w:r>
        <w:t xml:space="preserve"> </w:t>
      </w:r>
      <w:r>
        <w:t xml:space="preserve">retention (HD; LD). We measured size and growth of 10-year old redwood and</w:t>
      </w:r>
      <w:r>
        <w:t xml:space="preserve"> </w:t>
      </w:r>
      <w:r>
        <w:t xml:space="preserve">tanoak stump sprout regeneration, the density of all tree species, and surface</w:t>
      </w:r>
      <w:r>
        <w:t xml:space="preserve"> </w:t>
      </w:r>
      <w:r>
        <w:t xml:space="preserve">fuels 10 years after partial harvests.</w:t>
      </w:r>
    </w:p>
    <w:p>
      <w:pPr>
        <w:pStyle w:val="BodyText"/>
      </w:pPr>
      <w:r>
        <w:t xml:space="preserve">Redwood regeneration responded strongly and positively to increasing openness</w:t>
      </w:r>
      <w:r>
        <w:t xml:space="preserve"> </w:t>
      </w:r>
      <w:r>
        <w:t xml:space="preserve">(10.1 m</w:t>
      </w:r>
      <w:r>
        <w:rPr>
          <w:vertAlign w:val="superscript"/>
        </w:rPr>
        <w:t xml:space="preserve">2</w:t>
      </w:r>
      <w:r>
        <w:t xml:space="preserve"> </w:t>
      </w:r>
      <w:r>
        <w:t xml:space="preserve">ha</w:t>
      </w:r>
      <w:r>
        <w:rPr>
          <w:vertAlign w:val="superscript"/>
        </w:rPr>
        <w:t xml:space="preserve">-1</w:t>
      </w:r>
      <w:r>
        <w:t xml:space="preserve"> </w:t>
      </w:r>
      <w:r>
        <w:t xml:space="preserve">in GS vs 0.9 m</w:t>
      </w:r>
      <w:r>
        <w:rPr>
          <w:vertAlign w:val="superscript"/>
        </w:rPr>
        <w:t xml:space="preserve">2</w:t>
      </w:r>
      <w:r>
        <w:t xml:space="preserve"> </w:t>
      </w:r>
      <w:r>
        <w:t xml:space="preserve">ha</w:t>
      </w:r>
      <w:r>
        <w:rPr>
          <w:vertAlign w:val="superscript"/>
        </w:rPr>
        <w:t xml:space="preserve">-1</w:t>
      </w:r>
      <w:r>
        <w:t xml:space="preserve"> </w:t>
      </w:r>
      <w:r>
        <w:t xml:space="preserve">in HD). Tanoak basal area response</w:t>
      </w:r>
      <w:r>
        <w:t xml:space="preserve"> </w:t>
      </w:r>
      <w:r>
        <w:t xml:space="preserve">was comparatively modest and was lowest in the HA treatment (2.2 m</w:t>
      </w:r>
      <w:r>
        <w:rPr>
          <w:vertAlign w:val="superscript"/>
        </w:rPr>
        <w:t xml:space="preserve">2</w:t>
      </w:r>
      <w:r>
        <w:t xml:space="preserve"> </w:t>
      </w:r>
      <w:r>
        <w:t xml:space="preserve">ha</w:t>
      </w:r>
      <w:r>
        <w:rPr>
          <w:vertAlign w:val="superscript"/>
        </w:rPr>
        <w:t xml:space="preserve">-1</w:t>
      </w:r>
      <w:r>
        <w:t xml:space="preserve"> </w:t>
      </w:r>
      <w:r>
        <w:t xml:space="preserve">in</w:t>
      </w:r>
      <w:r>
        <w:t xml:space="preserve"> </w:t>
      </w:r>
      <w:r>
        <w:t xml:space="preserve">GS vs 1.3 m</w:t>
      </w:r>
      <w:r>
        <w:rPr>
          <w:vertAlign w:val="superscript"/>
        </w:rPr>
        <w:t xml:space="preserve">2</w:t>
      </w:r>
      <w:r>
        <w:t xml:space="preserve"> </w:t>
      </w:r>
      <w:r>
        <w:t xml:space="preserve">ha</w:t>
      </w:r>
      <w:r>
        <w:rPr>
          <w:vertAlign w:val="superscript"/>
        </w:rPr>
        <w:t xml:space="preserve">-1</w:t>
      </w:r>
      <w:r>
        <w:t xml:space="preserve"> </w:t>
      </w:r>
      <w:r>
        <w:t xml:space="preserve">in HA). The difference between redwood and tanoak sprout</w:t>
      </w:r>
      <w:r>
        <w:t xml:space="preserve"> </w:t>
      </w:r>
      <w:r>
        <w:t xml:space="preserve">basal area decreased quickly with increasing canopy cover and tanoak basal area</w:t>
      </w:r>
      <w:r>
        <w:t xml:space="preserve"> </w:t>
      </w:r>
      <w:r>
        <w:t xml:space="preserve">was slightly greater than that of redwood in the HD treatment. Douglas-fir</w:t>
      </w:r>
      <w:r>
        <w:t xml:space="preserve"> </w:t>
      </w:r>
      <w:r>
        <w:t xml:space="preserve">seedling counts were consistent across treatments with an average expectation of</w:t>
      </w:r>
      <w:r>
        <w:t xml:space="preserve"> </w:t>
      </w:r>
      <w:r>
        <w:t xml:space="preserve">413 seedlings per hectare.</w:t>
      </w:r>
    </w:p>
    <w:p>
      <w:pPr>
        <w:pStyle w:val="BodyText"/>
      </w:pPr>
      <w:r>
        <w:t xml:space="preserve">Redwood grew faster and achieved greater heights than tanoak across all</w:t>
      </w:r>
      <w:r>
        <w:t xml:space="preserve"> </w:t>
      </w:r>
      <w:r>
        <w:t xml:space="preserve">treatments and growth periods. But redwood height growth slowed more than tanoak</w:t>
      </w:r>
      <w:r>
        <w:t xml:space="preserve"> </w:t>
      </w:r>
      <w:r>
        <w:t xml:space="preserve">in years 5-10 compared to years 1-5 (0.8 m yr</w:t>
      </w:r>
      <w:r>
        <w:rPr>
          <w:vertAlign w:val="superscript"/>
        </w:rPr>
        <w:t xml:space="preserve">-1</w:t>
      </w:r>
      <w:r>
        <w:t xml:space="preserve"> </w:t>
      </w:r>
      <w:r>
        <w:t xml:space="preserve">-&gt; 0.67 m yr</w:t>
      </w:r>
      <w:r>
        <w:rPr>
          <w:vertAlign w:val="superscript"/>
        </w:rPr>
        <w:t xml:space="preserve">-1</w:t>
      </w:r>
      <w:r>
        <w:t xml:space="preserve"> </w:t>
      </w:r>
      <w:r>
        <w:t xml:space="preserve">for redwood,</w:t>
      </w:r>
      <w:r>
        <w:t xml:space="preserve"> </w:t>
      </w:r>
      <w:r>
        <w:t xml:space="preserve">vs. 0.39 m yr</w:t>
      </w:r>
      <w:r>
        <w:rPr>
          <w:vertAlign w:val="superscript"/>
        </w:rPr>
        <w:t xml:space="preserve">-1</w:t>
      </w:r>
      <w:r>
        <w:t xml:space="preserve"> </w:t>
      </w:r>
      <w:r>
        <w:t xml:space="preserve">-&gt; 0.34 m yr</w:t>
      </w:r>
      <w:r>
        <w:rPr>
          <w:vertAlign w:val="superscript"/>
        </w:rPr>
        <w:t xml:space="preserve">-1</w:t>
      </w:r>
      <w:r>
        <w:t xml:space="preserve"> </w:t>
      </w:r>
      <w:r>
        <w:t xml:space="preserve">for tanoak). The mean height of redwood</w:t>
      </w:r>
      <w:r>
        <w:t xml:space="preserve"> </w:t>
      </w:r>
      <w:r>
        <w:t xml:space="preserve">sprouts at Year 10 ranged from 10.64 m in the GS treatment to 6.3 m in the HD</w:t>
      </w:r>
      <w:r>
        <w:t xml:space="preserve"> </w:t>
      </w:r>
      <w:r>
        <w:t xml:space="preserve">treatment. For tanoak, predicted mean height ranged from 5.2 m (GS) to 3.08 m</w:t>
      </w:r>
      <w:r>
        <w:t xml:space="preserve"> </w:t>
      </w:r>
      <w:r>
        <w:t xml:space="preserve">(HD).</w:t>
      </w:r>
    </w:p>
    <w:p>
      <w:pPr>
        <w:pStyle w:val="BodyText"/>
      </w:pPr>
      <w:r>
        <w:t xml:space="preserve">Fuel loading generally showed few statistically significant differences between</w:t>
      </w:r>
      <w:r>
        <w:t xml:space="preserve"> </w:t>
      </w:r>
      <w:r>
        <w:t xml:space="preserve">treatments. Vegetative fuel loading was highest in the GS treatment and nearly 3</w:t>
      </w:r>
      <w:r>
        <w:t xml:space="preserve"> </w:t>
      </w:r>
      <w:r>
        <w:t xml:space="preserve">times that of the HA treatment which was lowest. One-hour fuels were highest in</w:t>
      </w:r>
      <w:r>
        <w:t xml:space="preserve"> </w:t>
      </w:r>
      <w:r>
        <w:t xml:space="preserve">the HA treatment and around double that of the GS treatment.</w:t>
      </w:r>
    </w:p>
    <w:p>
      <w:pPr>
        <w:pStyle w:val="BodyText"/>
      </w:pPr>
      <w:r>
        <w:t xml:space="preserve">The PCT dramatically reduced live surface fuels and increased fine dead surface</w:t>
      </w:r>
      <w:r>
        <w:t xml:space="preserve"> </w:t>
      </w:r>
      <w:r>
        <w:t xml:space="preserve">fuels including 10- and 100-hour fuels, leading to greater stratification of</w:t>
      </w:r>
      <w:r>
        <w:t xml:space="preserve"> </w:t>
      </w:r>
      <w:r>
        <w:t xml:space="preserve">treatments in terms of dead fuels.</w:t>
      </w:r>
    </w:p>
    <w:p>
      <w:pPr>
        <w:pStyle w:val="BodyText"/>
      </w:pPr>
      <w:r>
        <w:t xml:space="preserve">Harvesting techniques designed to promote productivity (like GS, LD) resulted in</w:t>
      </w:r>
      <w:r>
        <w:t xml:space="preserve"> </w:t>
      </w:r>
      <w:r>
        <w:t xml:space="preserve">significantly greater redwood growth and height. However, these same</w:t>
      </w:r>
      <w:r>
        <w:t xml:space="preserve"> </w:t>
      </w:r>
      <w:r>
        <w:t xml:space="preserve">techniques also produced higher levels of live vegetation fuels pre-PCT and,</w:t>
      </w:r>
      <w:r>
        <w:t xml:space="preserve"> </w:t>
      </w:r>
      <w:r>
        <w:t xml:space="preserve">consequently, higher volumes of fine dead fuels (10-hr and 100-hr) immediately</w:t>
      </w:r>
      <w:r>
        <w:t xml:space="preserve"> </w:t>
      </w:r>
      <w:r>
        <w:t xml:space="preserve">following the PCT fuels treatment.</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Mineva, Erin Kelly, and</w:t>
      </w:r>
      <w:r>
        <w:t xml:space="preserve"> </w:t>
      </w:r>
      <w:r>
        <w:t xml:space="preserve">Eric Riggs. My field data would have been measly at best were it not for the</w:t>
      </w:r>
      <w:r>
        <w:t xml:space="preserve"> </w:t>
      </w:r>
      <w:r>
        <w:t xml:space="preserve">dedicated efforts of our field crew: Alan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transform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
          <w:iCs/>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
          <w:iCs/>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2021; Dagley et al., 2023)</w:t>
      </w:r>
      <w:r>
        <w:t xml:space="preserve">.</w:t>
      </w:r>
      <w:r>
        <w:t xml:space="preserve"> </w:t>
      </w:r>
      <w:r>
        <w:t xml:space="preserve">Meanwhile, there has been little scientific investigation into the development</w:t>
      </w:r>
      <w:r>
        <w:t xml:space="preserve"> </w:t>
      </w:r>
      <w:r>
        <w:t xml:space="preserve">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(Gardiner &amp; Helmig, 1997; Keyser &amp; Zarnoch, 2014; Knapp et al., 2017)</w:t>
      </w:r>
      <w:r>
        <w:t xml:space="preserve">. Like most</w:t>
      </w:r>
      <w:r>
        <w:t xml:space="preserve"> </w:t>
      </w:r>
      <w:r>
        <w:t xml:space="preserve">sprouting species, despite redwoods shade tolerance it requires a certain</w:t>
      </w:r>
      <w:r>
        <w:t xml:space="preserve"> </w:t>
      </w:r>
      <w:r>
        <w:t xml:space="preserve">threshold of light to maintain growth</w:t>
      </w:r>
      <w:r>
        <w:t xml:space="preserve"> </w:t>
      </w:r>
      <w:r>
        <w:t xml:space="preserve">(O’Hara &amp; Berrill, 2010)</w:t>
      </w:r>
      <w:r>
        <w:t xml:space="preserve">. The</w:t>
      </w:r>
      <w:r>
        <w:t xml:space="preserve"> </w:t>
      </w:r>
      <w:r>
        <w:t xml:space="preserve">effect of understory light is weakest very early in development when growth is</w:t>
      </w:r>
      <w:r>
        <w:t xml:space="preserve"> </w:t>
      </w:r>
      <w:r>
        <w:t xml:space="preserve">dominated by stored 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w:t>
      </w:r>
      <w:r>
        <w:t xml:space="preserve"> </w:t>
      </w:r>
      <w:r>
        <w:t xml:space="preserve">(Berrill et al., 2018)</w:t>
      </w:r>
      <w:r>
        <w:t xml:space="preserve">, tanoak</w:t>
      </w:r>
      <w:r>
        <w:t xml:space="preserve"> </w:t>
      </w:r>
      <w:r>
        <w:t xml:space="preserve">(Harrington et al., 1992)</w:t>
      </w:r>
      <w:r>
        <w:t xml:space="preserve">, and is common among eastern hardwoods as</w:t>
      </w:r>
      <w:r>
        <w:t xml:space="preserve"> </w:t>
      </w:r>
      <w:r>
        <w:t xml:space="preserve">well</w:t>
      </w:r>
      <w:r>
        <w:t xml:space="preserve"> </w:t>
      </w:r>
      <w:r>
        <w:t xml:space="preserve">Keyser &amp; Loftis (2015)</w:t>
      </w:r>
      <w:r>
        <w:t xml:space="preserve">, but varies</w:t>
      </w:r>
      <w:r>
        <w:t xml:space="preserve"> </w:t>
      </w:r>
      <w:r>
        <w:t xml:space="preserve">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after cutting has been demonstrated for larger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suppressed stands, proliferation</w:t>
      </w:r>
      <w:r>
        <w:t xml:space="preserve"> </w:t>
      </w:r>
      <w:r>
        <w:t xml:space="preserve">of more fire-sensitive species, and an accumulation of surface fuels</w:t>
      </w:r>
      <w:r>
        <w:t xml:space="preserve"> </w:t>
      </w:r>
      <w:r>
        <w:t xml:space="preserve">(Safford &amp; Stevens, 2017; Stephens et al., 2009)</w:t>
      </w:r>
      <w:r>
        <w:t xml:space="preserve">. This</w:t>
      </w:r>
      <w:r>
        <w:t xml:space="preserve"> </w:t>
      </w:r>
      <w:r>
        <w:t xml:space="preserve">situation combined with climate change has led to increased size and frequency</w:t>
      </w:r>
      <w:r>
        <w:t xml:space="preserve"> </w:t>
      </w:r>
      <w:r>
        <w:t xml:space="preserve">of high-severity fires in many regions</w:t>
      </w:r>
      <w:r>
        <w:t xml:space="preserve"> </w:t>
      </w:r>
      <w:r>
        <w:t xml:space="preserve">(Parks &amp; Abatzoglou, 2020; Westerling, 2016)</w:t>
      </w:r>
      <w:r>
        <w:t xml:space="preserve">, prompting widespread interest in fuel</w:t>
      </w:r>
      <w:r>
        <w:t xml:space="preserve"> </w:t>
      </w:r>
      <w:r>
        <w:t xml:space="preserve">treatments and silvicultural interventions creating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short-term</w:t>
      </w:r>
      <w:r>
        <w:t xml:space="preserve"> </w:t>
      </w:r>
      <w:r>
        <w:t xml:space="preserve">(Hood et al., 2020; Schwilk et al., 2009; Stephens et al., 2009)</w:t>
      </w:r>
      <w:r>
        <w:t xml:space="preserve"> </w:t>
      </w:r>
      <w:r>
        <w:t xml:space="preserve">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liberated by the treatment, which in turn can become occupied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w:t>
      </w:r>
      <w:r>
        <w:rPr>
          <w:i/>
          <w:iCs/>
        </w:rPr>
        <w:t xml:space="preserve">Pinus</w:t>
      </w:r>
      <w:r>
        <w:rPr>
          <w:i/>
          <w:iCs/>
        </w:rPr>
        <w:t xml:space="preserve"> </w:t>
      </w:r>
      <w:r>
        <w:rPr>
          <w:i/>
          <w:iCs/>
        </w:rPr>
        <w:t xml:space="preserve">ponderosa</w:t>
      </w:r>
      <w:r>
        <w:t xml:space="preserve">)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r>
        <w:t xml:space="preserve"> </w:t>
      </w:r>
      <w:r>
        <w:t xml:space="preserve">(Norman et al., 2009)</w:t>
      </w:r>
      <w:r>
        <w:t xml:space="preserve">, but see</w:t>
      </w:r>
      <w:r>
        <w:t xml:space="preserve"> </w:t>
      </w:r>
      <w:r>
        <w:t xml:space="preserve">Wilder et al. (2025)</w:t>
      </w:r>
      <w:r>
        <w:t xml:space="preserve">.</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“pyrosilviculture”</w:t>
      </w:r>
      <w:r>
        <w:t xml:space="preserve"> </w:t>
      </w:r>
      <w:r>
        <w:t xml:space="preserve">(North et al., 2021)</w:t>
      </w:r>
      <w:r>
        <w:t xml:space="preserve">. It is my hope that this thesis</w:t>
      </w:r>
      <w:r>
        <w:t xml:space="preserve"> </w:t>
      </w:r>
      <w:r>
        <w:t xml:space="preserve">serves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“fuels management”</w:t>
      </w:r>
      <w:r>
        <w:t xml:space="preserve"> </w:t>
      </w:r>
      <w:r>
        <w:t xml:space="preserve">activities</w:t>
      </w:r>
      <w:r>
        <w:t xml:space="preserve"> </w:t>
      </w:r>
      <w:r>
        <w:t xml:space="preserve">(York et al., 2021)</w:t>
      </w:r>
      <w:r>
        <w:t xml:space="preserve">. The ability to envision these</w:t>
      </w:r>
      <w:r>
        <w:t xml:space="preserve"> </w:t>
      </w:r>
      <w:r>
        <w:t xml:space="preserve">realms of understanding as integral and essential pieces of a common forest</w:t>
      </w:r>
      <w:r>
        <w:t xml:space="preserve"> </w:t>
      </w:r>
      <w:r>
        <w:t xml:space="preserve">stewardship will lead to new insights and increase our capacity for better land</w:t>
      </w:r>
      <w:r>
        <w:t xml:space="preserve"> </w:t>
      </w:r>
      <w:r>
        <w:t xml:space="preserve">management.</w:t>
      </w:r>
    </w:p>
    <w:p>
      <w:pPr>
        <w:pStyle w:val="BodyText"/>
      </w:pPr>
      <w:r>
        <w:t xml:space="preserve">Therefore, the objective of this research was to quantify the development of</w:t>
      </w:r>
      <w:r>
        <w:t xml:space="preserve"> </w:t>
      </w:r>
      <w:r>
        <w:t xml:space="preserve">live surface fuels–the forest understory–as well as dead surface fuels by size</w:t>
      </w:r>
      <w:r>
        <w:t xml:space="preserve"> </w:t>
      </w:r>
      <w:r>
        <w:t xml:space="preserve">class and their dynamics with regard to a PCT fuels treatment with potential to</w:t>
      </w:r>
      <w:r>
        <w:t xml:space="preserve"> </w:t>
      </w:r>
      <w:r>
        <w:t xml:space="preserve">reduce fire severity. And to measure these within the context of a multiaged</w:t>
      </w:r>
      <w:r>
        <w:t xml:space="preserve"> </w:t>
      </w:r>
      <w:r>
        <w:t xml:space="preserve">silvicultural system under a range of residual overstory densities to explore</w:t>
      </w:r>
      <w:r>
        <w:t xml:space="preserve"> </w:t>
      </w:r>
      <w:r>
        <w:t xml:space="preserve">trade offs between overstory retention, new sprout development, and surface fuel</w:t>
      </w:r>
      <w:r>
        <w:t xml:space="preserve"> </w:t>
      </w:r>
      <w:r>
        <w:t xml:space="preserve">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Northern California, the 20,000-ha Jackson Demonstration State Forest</w:t>
      </w:r>
      <w:r>
        <w:t xml:space="preserve"> </w:t>
      </w:r>
      <w:r>
        <w:t xml:space="preserve">(JDSF)</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a single 0.2-hectare square macro plot was established in the</w:t>
      </w:r>
      <w:r>
        <w:t xml:space="preserve"> </w:t>
      </w:r>
      <w:r>
        <w:t xml:space="preserve">center of each treatment unit. Approximately 25 redwood and 25 tanoak sprout</w:t>
      </w:r>
      <w:r>
        <w:t xml:space="preserve"> </w:t>
      </w:r>
      <w:r>
        <w:t xml:space="preserve">clumps that were well distributed across the plot, were selected for</w:t>
      </w:r>
      <w:r>
        <w:t xml:space="preserve"> </w:t>
      </w:r>
      <w:r>
        <w:t xml:space="preserve">measurement. Additionally, for redwood, sprout clumps were selected evenly from</w:t>
      </w:r>
      <w:r>
        <w:t xml:space="preserve"> </w:t>
      </w:r>
      <w:r>
        <w:t xml:space="preserve">those with, 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“sampling</w:t>
      </w:r>
      <w:r>
        <w:t xml:space="preserve"> </w:t>
      </w:r>
      <w:r>
        <w:t xml:space="preserve">cylinders”</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ayout w:type="fixed"/>
        <w:tblLook w:firstRow="0" w:lastRow="0" w:firstColumn="0" w:lastColumn="0" w:noHBand="0" w:noVBand="0" w:val="0000"/>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regeneration"/>
    <w:p>
      <w:pPr>
        <w:pStyle w:val="Heading3"/>
      </w:pPr>
      <w:r>
        <w:t xml:space="preserve">2.3.1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 by species.</w:t>
      </w:r>
    </w:p>
    <w:bookmarkEnd w:id="41"/>
    <w:bookmarkStart w:id="42" w:name="sprout-size"/>
    <w:p>
      <w:pPr>
        <w:pStyle w:val="Heading3"/>
      </w:pPr>
      <w:r>
        <w:t xml:space="preserve">2.3.2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the selected redwood and tanoak clumps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two, two, and four meters,</w:t>
      </w:r>
      <w:r>
        <w:t xml:space="preserve"> </w:t>
      </w:r>
      <w:r>
        <w:t xml:space="preserve">respectively during pre-pct measurements. During post-pct measurement, the</w:t>
      </w:r>
      <w:r>
        <w:t xml:space="preserve"> </w:t>
      </w:r>
      <w:r>
        <w:t xml:space="preserve">length of the 1-hr fuel transect was reduced to one meter because of he dramatic</w:t>
      </w:r>
      <w:r>
        <w:t xml:space="preserve"> </w:t>
      </w:r>
      <w:r>
        <w:t xml:space="preserve">increase in these fuels.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“litter”</w:t>
      </w:r>
      <w:r>
        <w:t xml:space="preserve"> </w:t>
      </w:r>
      <w:r>
        <w:t xml:space="preserve">from 1-hr</w:t>
      </w:r>
      <w:r>
        <w:t xml:space="preserve"> </w:t>
      </w:r>
      <w:r>
        <w:t xml:space="preserve">fuels. We chose to use an estimated cutoff of about 2 mm for redwood branchlets,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“leafy”</w:t>
      </w:r>
      <w:r>
        <w:t xml:space="preserve"> </w:t>
      </w:r>
      <w:r>
        <w:t xml:space="preserve">and</w:t>
      </w:r>
      <w:r>
        <w:t xml:space="preserve"> </w:t>
      </w:r>
      <w:r>
        <w:t xml:space="preserve">“awl like”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“sampling cylinders”</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“live”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“live”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compare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not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rPr>
          <w:rStyle w:val="VerbatimChar"/>
        </w:rPr>
        <w:t xml:space="preserve">https://fisher-j.github.io/multi-age</w:t>
      </w:r>
      <w:r>
        <w:t xml:space="preserve">. All response variables were analyzed using</w:t>
      </w:r>
      <w:r>
        <w:t xml:space="preserve"> </w:t>
      </w:r>
      <w:r>
        <w:t xml:space="preserve">multi-level models to account for the inherent nesting structure of the data,</w:t>
      </w:r>
      <w:r>
        <w:t xml:space="preserve"> </w:t>
      </w:r>
      <w:r>
        <w:t xml:space="preserve">including multiple measurements of sprouts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“random”</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1"/>
              </w:numPr>
            </w:pPr>
            <w:r>
              <w:t xml:space="preserve">Try to use terminology for conditional and marginal predictions described in</w:t>
            </w:r>
            <w:r>
              <w:t xml:space="preserve"> </w:t>
            </w:r>
            <w:r>
              <w:t xml:space="preserve">Heiss (2022)</w:t>
            </w:r>
          </w:p>
          <w:p>
            <w:pPr>
              <w:pStyle w:val="Compact"/>
              <w:numPr>
                <w:ilvl w:val="0"/>
                <w:numId w:val="1001"/>
              </w:numPr>
            </w:pPr>
            <w:r>
              <w:t xml:space="preserve">I would like to write my models in formal notation similar to</w:t>
            </w:r>
            <w:r>
              <w:t xml:space="preserve"> </w:t>
            </w:r>
            <w:r>
              <w:t xml:space="preserve">Heiss (2022)</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sepChr m:val=""/>
                          <m:end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sepChr m:val=""/>
                          <m:end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sepChr m:val=""/>
                          <m:endChr m:val=")"/>
                          <m:grow/>
                        </m:dPr>
                        <m:e>
                          <m:r>
                            <m:t>0</m:t>
                          </m:r>
                          <m:r>
                            <m:rPr>
                              <m:sty m:val="p"/>
                            </m:rPr>
                            <m:t>,</m:t>
                          </m:r>
                          <m:sSub>
                            <m:e>
                              <m:r>
                                <m:t>σ</m:t>
                              </m:r>
                            </m:e>
                            <m:sub>
                              <m:r>
                                <m:t>0</m:t>
                              </m:r>
                            </m:sub>
                          </m:sSub>
                        </m:e>
                      </m:d>
                    </m:e>
                    <m:e>
                      <m:r>
                        <m:rPr>
                          <m:nor/>
                          <m:sty m:val="p"/>
                        </m:rPr>
                        <m:t>Random country offsets from global average</m:t>
                      </m:r>
                    </m:e>
                  </m:mr>
                </m:m>
              </m:oMath>
            </m:oMathPara>
          </w:p>
          <w:p/>
        </w:tc>
      </w:tr>
    </w:tbl>
    <w:bookmarkStart w:id="48" w:name="regeneration-1"/>
    <w:p>
      <w:pPr>
        <w:pStyle w:val="Heading3"/>
      </w:pPr>
      <w:r>
        <w:t xml:space="preserve">2.4.1 Regeneration</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“other”</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these data included</w:t>
      </w:r>
      <w:r>
        <w:t xml:space="preserve"> </w:t>
      </w:r>
      <w:r>
        <w:rPr>
          <w:rStyle w:val="VerbatimChar"/>
        </w:rPr>
        <w:t xml:space="preserve">tree</w:t>
      </w:r>
      <w:r>
        <w:t xml:space="preserve"> </w:t>
      </w:r>
      <w:r>
        <w:t xml:space="preserve">as a candidate random</w:t>
      </w:r>
      <w:r>
        <w:t xml:space="preserve"> </w:t>
      </w:r>
      <w:r>
        <w:t xml:space="preserve">effect. While not making a difference for analysis results, it is worth noting</w:t>
      </w:r>
      <w:r>
        <w:t xml:space="preserve"> </w:t>
      </w:r>
      <w:r>
        <w:t xml:space="preserve">that these data were structured differently from the other datasets in that</w:t>
      </w:r>
      <w:r>
        <w:t xml:space="preserve"> </w:t>
      </w:r>
      <w:r>
        <w:rPr>
          <w:rStyle w:val="VerbatimChar"/>
        </w:rPr>
        <w:t xml:space="preserve">plot</w:t>
      </w:r>
      <w:r>
        <w:t xml:space="preserve"> </w:t>
      </w:r>
      <w:r>
        <w:t xml:space="preserve">was made a globally unique identifier, thus making explicit the nesting</w:t>
      </w:r>
      <w:r>
        <w:t xml:space="preserve"> </w:t>
      </w:r>
      <w:r>
        <w:t xml:space="preserve">of plots within sites or treatments and eliminating the need to specify this</w:t>
      </w:r>
      <w:r>
        <w:t xml:space="preserve"> </w:t>
      </w:r>
      <w:r>
        <w:t xml:space="preserve">nesting structure in the R code model formulas.</w:t>
      </w:r>
    </w:p>
    <w:bookmarkEnd w:id="49"/>
    <w:bookmarkStart w:id="50" w:name="fuels-1"/>
    <w:p>
      <w:pPr>
        <w:pStyle w:val="Heading3"/>
      </w:pPr>
      <w:r>
        <w:t xml:space="preserve">2.4.3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“duff/litter”</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“sound”</w:t>
      </w:r>
      <w:r>
        <w:t xml:space="preserve"> </w:t>
      </w:r>
      <w:r>
        <w:t xml:space="preserve">and decay classes</w:t>
      </w:r>
      <w:r>
        <w:t xml:space="preserve"> </w:t>
      </w:r>
      <w:r>
        <w:t xml:space="preserve">4 and 5 were considered</w:t>
      </w:r>
      <w:r>
        <w:t xml:space="preserve"> </w:t>
      </w:r>
      <w:r>
        <w:t xml:space="preserve">“rotten”</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Herbaceous and woody fuel loads were</w:t>
      </w:r>
      <w:r>
        <w:t xml:space="preserve"> </w:t>
      </w:r>
      <w:r>
        <w:t xml:space="preserve">then combined and averaged at the transect level (two measurements per transect)</w:t>
      </w:r>
      <w:r>
        <w:t xml:space="preserve"> </w:t>
      </w:r>
      <w:r>
        <w:t xml:space="preserve">to determine total vegetation loading.</w:t>
      </w:r>
    </w:p>
    <w:bookmarkEnd w:id="50"/>
    <w:bookmarkEnd w:id="51"/>
    <w:bookmarkEnd w:id="52"/>
    <w:bookmarkStart w:id="119" w:name="results"/>
    <w:p>
      <w:pPr>
        <w:pStyle w:val="Heading1"/>
      </w:pPr>
      <w:r>
        <w:t xml:space="preserve">3. Results</w:t>
      </w:r>
    </w:p>
    <w:bookmarkStart w:id="73" w:name="regeneration-2"/>
    <w:p>
      <w:pPr>
        <w:pStyle w:val="Heading2"/>
      </w:pPr>
      <w:r>
        <w:t xml:space="preserve">3.1 Regeneration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 (</w:t>
      </w:r>
      <w:hyperlink w:anchor="lst-regen-ba">
        <w:r>
          <w:rPr>
            <w:rStyle w:val="Hyperlink"/>
          </w:rPr>
          <w:t xml:space="preserve">Listing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lst-regen-ba"/>
          <w:p>
            <w:pPr>
              <w:jc w:val="center"/>
            </w:pPr>
            <w:pPr>
              <w:jc w:val="lef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FirstParagraph"/>
      </w:pPr>
      <w:r>
        <w:t xml:space="preserve">Focal species for this model included redwood, tanaok, Douglas-fir, and other</w:t>
      </w:r>
      <w:r>
        <w:t xml:space="preserve"> </w:t>
      </w:r>
      <w:r>
        <w:t xml:space="preserve">species.</w:t>
      </w:r>
    </w:p>
    <w:p>
      <w:pPr>
        <w:pStyle w:val="BodyText"/>
      </w:pPr>
      <w:r>
        <w:t xml:space="preserve">Redwood basal area regeneration showed the greatest treatment response. Where</w:t>
      </w:r>
      <w:r>
        <w:t xml:space="preserve"> </w:t>
      </w:r>
      <w:r>
        <w:t xml:space="preserve">the GS treatment had the greatest basal area of redwood regeneration at</w:t>
      </w:r>
      <w:r>
        <w:t xml:space="preserve"> </w:t>
      </w:r>
      <w:r>
        <w:t xml:space="preserve">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tbl>
      <w:tblPr>
        <w:tblStyle w:val="Table"/>
        <w:tblW w:type="pct" w:w="5000"/>
        <w:tblLayout w:type="fixed"/>
        <w:tblLook w:firstRow="0" w:lastRow="0" w:firstColumn="0" w:lastColumn="0" w:noHBand="0" w:noVBand="0" w:val="0000"/>
      </w:tblPr>
      <w:tblGrid>
        <w:gridCol w:w="7920"/>
      </w:tblGrid>
      <w:tr>
        <w:tc>
          <w:tcPr/>
          <w:bookmarkStart w:id="54" w:name="tbl-regen-ba-grand-means"/>
          <w:p>
            <w:pPr>
              <w:jc w:val="center"/>
            </w:pPr>
            <w:pPr>
              <w:jc w:val="lef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 The asymptotic 95% confidence intervals are based on the normal approximation.</w:t>
            </w:r>
          </w:p>
          <w:tbl>
            <w:tblPr>
              <w:tblStyle w:val="Table"/>
              <w:tblW w:type="pct" w:w="4167"/>
              <w:tblLayout w:type="fixed"/>
              <w:tblLook w:firstRow="1" w:lastRow="0" w:firstColumn="0" w:lastColumn="0" w:noHBand="0" w:noVBand="0" w:val="0020"/>
            </w:tblPr>
            <w:tblGrid>
              <w:gridCol w:w="880"/>
              <w:gridCol w:w="110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1</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overall</w:t>
                  </w:r>
                </w:p>
              </w:tc>
              <w:tc>
                <w:tcPr/>
                <w:p>
                  <w:pPr>
                    <w:pStyle w:val="Compact"/>
                    <w:jc w:val="center"/>
                  </w:pPr>
                  <w:r>
                    <w:t xml:space="preserve">0.11</w:t>
                  </w:r>
                </w:p>
              </w:tc>
              <w:tc>
                <w:tcPr/>
                <w:p>
                  <w:pPr>
                    <w:pStyle w:val="Compact"/>
                    <w:jc w:val="center"/>
                  </w:pPr>
                  <w:r>
                    <w:t xml:space="preserve">0.04</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0.19</w:t>
                  </w:r>
                </w:p>
              </w:tc>
            </w:tr>
            <w:tr>
              <w:tc>
                <w:tcPr/>
                <w:p>
                  <w:pPr>
                    <w:pStyle w:val="Compact"/>
                    <w:jc w:val="center"/>
                  </w:pPr>
                  <w:r>
                    <w:t xml:space="preserve">df</w:t>
                  </w:r>
                </w:p>
              </w:tc>
              <w:tc>
                <w:tcPr/>
                <w:p>
                  <w:pPr>
                    <w:pStyle w:val="Compact"/>
                    <w:jc w:val="center"/>
                  </w:pPr>
                  <w:r>
                    <w:t xml:space="preserve">overall</w:t>
                  </w:r>
                </w:p>
              </w:tc>
              <w:tc>
                <w:tcPr/>
                <w:p>
                  <w:pPr>
                    <w:pStyle w:val="Compact"/>
                    <w:jc w:val="center"/>
                  </w:pPr>
                  <w:r>
                    <w:t xml:space="preserve">0.17</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0.05</w:t>
                  </w:r>
                </w:p>
              </w:tc>
              <w:tc>
                <w:tcPr/>
                <w:p>
                  <w:pPr>
                    <w:pStyle w:val="Compact"/>
                    <w:jc w:val="center"/>
                  </w:pPr>
                  <w:r>
                    <w:t xml:space="preserve">0.28</w:t>
                  </w:r>
                </w:p>
              </w:tc>
            </w:tr>
            <w:tr>
              <w:tc>
                <w:tcPr/>
                <w:p>
                  <w:pPr>
                    <w:pStyle w:val="Compact"/>
                    <w:jc w:val="center"/>
                  </w:pPr>
                  <w:r>
                    <w:t xml:space="preserve">rw</w:t>
                  </w:r>
                </w:p>
              </w:tc>
              <w:tc>
                <w:tcPr/>
                <w:p>
                  <w:pPr>
                    <w:pStyle w:val="Compact"/>
                    <w:jc w:val="center"/>
                  </w:pPr>
                  <w:r>
                    <w:t xml:space="preserve">overall</w:t>
                  </w:r>
                </w:p>
              </w:tc>
              <w:tc>
                <w:tcPr/>
                <w:p>
                  <w:pPr>
                    <w:pStyle w:val="Compact"/>
                    <w:jc w:val="center"/>
                  </w:pPr>
                  <w:r>
                    <w:t xml:space="preserve">4.03</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1.04</w:t>
                  </w:r>
                </w:p>
              </w:tc>
              <w:tc>
                <w:tcPr/>
                <w:p>
                  <w:pPr>
                    <w:pStyle w:val="Compact"/>
                    <w:jc w:val="center"/>
                  </w:pPr>
                  <w:r>
                    <w:t xml:space="preserve">7.01</w:t>
                  </w:r>
                </w:p>
              </w:tc>
            </w:tr>
            <w:tr>
              <w:tc>
                <w:tcPr/>
                <w:p>
                  <w:pPr>
                    <w:pStyle w:val="Compact"/>
                    <w:jc w:val="center"/>
                  </w:pPr>
                  <w:r>
                    <w:t xml:space="preserve">to</w:t>
                  </w:r>
                </w:p>
              </w:tc>
              <w:tc>
                <w:tcPr/>
                <w:p>
                  <w:pPr>
                    <w:pStyle w:val="Compact"/>
                    <w:jc w:val="center"/>
                  </w:pPr>
                  <w:r>
                    <w:t xml:space="preserve">overall</w:t>
                  </w:r>
                </w:p>
              </w:tc>
              <w:tc>
                <w:tcPr/>
                <w:p>
                  <w:pPr>
                    <w:pStyle w:val="Compact"/>
                    <w:jc w:val="center"/>
                  </w:pPr>
                  <w:r>
                    <w:t xml:space="preserve">1.59</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0.67</w:t>
                  </w:r>
                </w:p>
              </w:tc>
              <w:tc>
                <w:tcPr/>
                <w:p>
                  <w:pPr>
                    <w:pStyle w:val="Compact"/>
                    <w:jc w:val="center"/>
                  </w:pPr>
                  <w:r>
                    <w:t xml:space="preserve">2.50</w:t>
                  </w:r>
                </w:p>
              </w:tc>
            </w:tr>
          </w:tbl>
          <w:bookmarkEnd w:id="54"/>
          <w:p/>
        </w:tc>
      </w:tr>
    </w:tbl>
    <w:tbl>
      <w:tblPr>
        <w:tblStyle w:val="Table"/>
        <w:tblW w:type="pct" w:w="5000"/>
        <w:tblLayout w:type="fixed"/>
        <w:tblLook w:firstRow="0" w:lastRow="0" w:firstColumn="0" w:lastColumn="0" w:noHBand="0" w:noVBand="0" w:val="0000"/>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8"/>
        </w:tc>
      </w:tr>
    </w:tbl>
    <w:tbl>
      <w:tblPr>
        <w:tblStyle w:val="Table"/>
        <w:tblW w:type="pct" w:w="5000"/>
        <w:tblLayout w:type="fixed"/>
        <w:tblLook w:firstRow="0" w:lastRow="0" w:firstColumn="0" w:lastColumn="0" w:noHBand="0" w:noVBand="0" w:val="0000"/>
      </w:tblPr>
      <w:tblGrid>
        <w:gridCol w:w="7920"/>
      </w:tblGrid>
      <w:tr>
        <w:tc>
          <w:tcPr/>
          <w:bookmarkStart w:id="59" w:name="tbl-regen-ba"/>
          <w:p>
            <w:pPr>
              <w:jc w:val="center"/>
            </w:pPr>
            <w:pPr>
              <w:jc w:val="lef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The asymptotic 95% confidence intervals are based on the normal approximation.</w:t>
            </w:r>
          </w:p>
          <w:tbl>
            <w:tblPr>
              <w:tblStyle w:val="Table"/>
              <w:tblW w:type="pct" w:w="4306"/>
              <w:tblLayout w:type="fixed"/>
              <w:tblLook w:firstRow="1" w:lastRow="0" w:firstColumn="0" w:lastColumn="0" w:noHBand="0" w:noVBand="0" w:val="0020"/>
            </w:tblPr>
            <w:tblGrid>
              <w:gridCol w:w="880"/>
              <w:gridCol w:w="132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gs</w:t>
                  </w:r>
                </w:p>
              </w:tc>
              <w:tc>
                <w:tcPr/>
                <w:p>
                  <w:pPr>
                    <w:pStyle w:val="Compact"/>
                    <w:jc w:val="center"/>
                  </w:pPr>
                  <w:r>
                    <w:t xml:space="preserve">0.13</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0.29</w:t>
                  </w:r>
                </w:p>
              </w:tc>
            </w:tr>
            <w:tr>
              <w:tc>
                <w:tcPr/>
                <w:p>
                  <w:pPr>
                    <w:pStyle w:val="Compact"/>
                    <w:jc w:val="center"/>
                  </w:pPr>
                  <w:r>
                    <w:t xml:space="preserve">other</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0.23</w:t>
                  </w:r>
                </w:p>
              </w:tc>
            </w:tr>
            <w:tr>
              <w:tc>
                <w:tcPr/>
                <w:p>
                  <w:pPr>
                    <w:pStyle w:val="Compact"/>
                    <w:jc w:val="center"/>
                  </w:pPr>
                  <w:r>
                    <w:t xml:space="preserve">other</w:t>
                  </w:r>
                </w:p>
              </w:tc>
              <w:tc>
                <w:tcPr/>
                <w:p>
                  <w:pPr>
                    <w:pStyle w:val="Compact"/>
                    <w:jc w:val="center"/>
                  </w:pPr>
                  <w:r>
                    <w:t xml:space="preserve">ha</w:t>
                  </w:r>
                </w:p>
              </w:tc>
              <w:tc>
                <w:tcPr/>
                <w:p>
                  <w:pPr>
                    <w:pStyle w:val="Compact"/>
                    <w:jc w:val="center"/>
                  </w:pPr>
                  <w:r>
                    <w:t xml:space="preserve">0.04</w:t>
                  </w:r>
                </w:p>
              </w:tc>
              <w:tc>
                <w:tcPr/>
                <w:p>
                  <w:pPr>
                    <w:pStyle w:val="Compact"/>
                    <w:jc w:val="center"/>
                  </w:pPr>
                  <w:r>
                    <w:t xml:space="preserve">0.02</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0.07</w:t>
                  </w:r>
                </w:p>
              </w:tc>
            </w:tr>
            <w:tr>
              <w:tc>
                <w:tcPr/>
                <w:p>
                  <w:pPr>
                    <w:pStyle w:val="Compact"/>
                    <w:jc w:val="center"/>
                  </w:pPr>
                  <w:r>
                    <w:t xml:space="preserve">other</w:t>
                  </w:r>
                </w:p>
              </w:tc>
              <w:tc>
                <w:tcPr/>
                <w:p>
                  <w:pPr>
                    <w:pStyle w:val="Compact"/>
                    <w:jc w:val="center"/>
                  </w:pPr>
                  <w:r>
                    <w:t xml:space="preserve">hd</w:t>
                  </w:r>
                </w:p>
              </w:tc>
              <w:tc>
                <w:tcPr/>
                <w:p>
                  <w:pPr>
                    <w:pStyle w:val="Compact"/>
                    <w:jc w:val="center"/>
                  </w:pPr>
                  <w:r>
                    <w:t xml:space="preserve">0.16</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0.3</w:t>
                  </w:r>
                </w:p>
              </w:tc>
            </w:tr>
            <w:tr>
              <w:tc>
                <w:tcPr/>
                <w:p>
                  <w:pPr>
                    <w:pStyle w:val="Compact"/>
                    <w:jc w:val="center"/>
                  </w:pPr>
                  <w:r>
                    <w:t xml:space="preserve">df</w:t>
                  </w:r>
                </w:p>
              </w:tc>
              <w:tc>
                <w:tcPr/>
                <w:p>
                  <w:pPr>
                    <w:pStyle w:val="Compact"/>
                    <w:jc w:val="center"/>
                  </w:pPr>
                  <w:r>
                    <w:t xml:space="preserve">gs</w:t>
                  </w:r>
                </w:p>
              </w:tc>
              <w:tc>
                <w:tcPr/>
                <w:p>
                  <w:pPr>
                    <w:pStyle w:val="Compact"/>
                    <w:jc w:val="center"/>
                  </w:pPr>
                  <w:r>
                    <w:t xml:space="preserve">0.28</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0.04</w:t>
                  </w:r>
                </w:p>
              </w:tc>
              <w:tc>
                <w:tcPr/>
                <w:p>
                  <w:pPr>
                    <w:pStyle w:val="Compact"/>
                    <w:jc w:val="center"/>
                  </w:pPr>
                  <w:r>
                    <w:t xml:space="preserve">0.52</w:t>
                  </w:r>
                </w:p>
              </w:tc>
            </w:tr>
            <w:tr>
              <w:tc>
                <w:tcPr/>
                <w:p>
                  <w:pPr>
                    <w:pStyle w:val="Compact"/>
                    <w:jc w:val="center"/>
                  </w:pPr>
                  <w:r>
                    <w:t xml:space="preserve">df</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0.21</w:t>
                  </w:r>
                </w:p>
              </w:tc>
            </w:tr>
            <w:tr>
              <w:tc>
                <w:tcPr/>
                <w:p>
                  <w:pPr>
                    <w:pStyle w:val="Compact"/>
                    <w:jc w:val="center"/>
                  </w:pPr>
                  <w:r>
                    <w:t xml:space="preserve">df</w:t>
                  </w:r>
                </w:p>
              </w:tc>
              <w:tc>
                <w:tcPr/>
                <w:p>
                  <w:pPr>
                    <w:pStyle w:val="Compact"/>
                    <w:jc w:val="center"/>
                  </w:pPr>
                  <w:r>
                    <w:t xml:space="preserve">ha</w:t>
                  </w:r>
                </w:p>
              </w:tc>
              <w:tc>
                <w:tcPr/>
                <w:p>
                  <w:pPr>
                    <w:pStyle w:val="Compact"/>
                    <w:jc w:val="center"/>
                  </w:pPr>
                  <w:r>
                    <w:t xml:space="preserve">0.16</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0.31</w:t>
                  </w:r>
                </w:p>
              </w:tc>
            </w:tr>
            <w:tr>
              <w:tc>
                <w:tcPr/>
                <w:p>
                  <w:pPr>
                    <w:pStyle w:val="Compact"/>
                    <w:jc w:val="center"/>
                  </w:pPr>
                  <w:r>
                    <w:t xml:space="preserve">df</w:t>
                  </w:r>
                </w:p>
              </w:tc>
              <w:tc>
                <w:tcPr/>
                <w:p>
                  <w:pPr>
                    <w:pStyle w:val="Compact"/>
                    <w:jc w:val="center"/>
                  </w:pPr>
                  <w:r>
                    <w:t xml:space="preserve">hd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0.21</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10.12</w:t>
                  </w:r>
                </w:p>
              </w:tc>
              <w:tc>
                <w:tcPr/>
                <w:p>
                  <w:pPr>
                    <w:pStyle w:val="Compact"/>
                    <w:jc w:val="center"/>
                  </w:pPr>
                  <w:r>
                    <w:t xml:space="preserve">4.74</w:t>
                  </w:r>
                </w:p>
              </w:tc>
              <w:tc>
                <w:tcPr/>
                <w:p>
                  <w:pPr>
                    <w:pStyle w:val="Compact"/>
                    <w:jc w:val="center"/>
                  </w:pPr>
                  <w:r>
                    <w:t xml:space="preserve">Inf</w:t>
                  </w:r>
                </w:p>
              </w:tc>
              <w:tc>
                <w:tcPr/>
                <w:p>
                  <w:pPr>
                    <w:pStyle w:val="Compact"/>
                    <w:jc w:val="center"/>
                  </w:pPr>
                  <w:r>
                    <w:t xml:space="preserve">0.84</w:t>
                  </w:r>
                </w:p>
              </w:tc>
              <w:tc>
                <w:tcPr/>
                <w:p>
                  <w:pPr>
                    <w:pStyle w:val="Compact"/>
                    <w:jc w:val="center"/>
                  </w:pPr>
                  <w:r>
                    <w:t xml:space="preserve">19.41</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3.63</w:t>
                  </w:r>
                </w:p>
              </w:tc>
              <w:tc>
                <w:tcPr/>
                <w:p>
                  <w:pPr>
                    <w:pStyle w:val="Compact"/>
                    <w:jc w:val="center"/>
                  </w:pPr>
                  <w:r>
                    <w:t xml:space="preserve">1.91</w:t>
                  </w:r>
                </w:p>
              </w:tc>
              <w:tc>
                <w:tcPr/>
                <w:p>
                  <w:pPr>
                    <w:pStyle w:val="Compact"/>
                    <w:jc w:val="center"/>
                  </w:pPr>
                  <w:r>
                    <w:t xml:space="preserve">Inf</w:t>
                  </w:r>
                </w:p>
              </w:tc>
              <w:tc>
                <w:tcPr/>
                <w:p>
                  <w:pPr>
                    <w:pStyle w:val="Compact"/>
                    <w:jc w:val="center"/>
                  </w:pPr>
                  <w:r>
                    <w:t xml:space="preserve">-0.12</w:t>
                  </w:r>
                </w:p>
              </w:tc>
              <w:tc>
                <w:tcPr/>
                <w:p>
                  <w:pPr>
                    <w:pStyle w:val="Compact"/>
                    <w:jc w:val="center"/>
                  </w:pPr>
                  <w:r>
                    <w:t xml:space="preserve">7.38</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1.51</w:t>
                  </w:r>
                </w:p>
              </w:tc>
              <w:tc>
                <w:tcPr/>
                <w:p>
                  <w:pPr>
                    <w:pStyle w:val="Compact"/>
                    <w:jc w:val="center"/>
                  </w:pPr>
                  <w:r>
                    <w:t xml:space="preserve">0.78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3.04</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0.85</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-0.17</w:t>
                  </w:r>
                </w:p>
              </w:tc>
              <w:tc>
                <w:tcPr/>
                <w:p>
                  <w:pPr>
                    <w:pStyle w:val="Compact"/>
                    <w:jc w:val="center"/>
                  </w:pPr>
                  <w:r>
                    <w:t xml:space="preserve">1.86</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2.24</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3.79</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1.94</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0.58</w:t>
                  </w:r>
                </w:p>
              </w:tc>
              <w:tc>
                <w:tcPr/>
                <w:p>
                  <w:pPr>
                    <w:pStyle w:val="Compact"/>
                    <w:jc w:val="center"/>
                  </w:pPr>
                  <w:r>
                    <w:t xml:space="preserve">3.3</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0.92</w:t>
                  </w:r>
                </w:p>
              </w:tc>
              <w:tc>
                <w:tcPr/>
                <w:p>
                  <w:pPr>
                    <w:pStyle w:val="Compact"/>
                    <w:jc w:val="center"/>
                  </w:pPr>
                  <w:r>
                    <w:t xml:space="preserve">0.33</w:t>
                  </w:r>
                </w:p>
              </w:tc>
              <w:tc>
                <w:tcPr/>
                <w:p>
                  <w:pPr>
                    <w:pStyle w:val="Compact"/>
                    <w:jc w:val="center"/>
                  </w:pPr>
                  <w:r>
                    <w:t xml:space="preserve">Inf</w:t>
                  </w:r>
                </w:p>
              </w:tc>
              <w:tc>
                <w:tcPr/>
                <w:p>
                  <w:pPr>
                    <w:pStyle w:val="Compact"/>
                    <w:jc w:val="center"/>
                  </w:pPr>
                  <w:r>
                    <w:t xml:space="preserve">0.28</w:t>
                  </w:r>
                </w:p>
              </w:tc>
              <w:tc>
                <w:tcPr/>
                <w:p>
                  <w:pPr>
                    <w:pStyle w:val="Compact"/>
                    <w:jc w:val="center"/>
                  </w:pPr>
                  <w:r>
                    <w:t xml:space="preserve">1.56</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1.25</w:t>
                  </w:r>
                </w:p>
              </w:tc>
              <w:tc>
                <w:tcPr/>
                <w:p>
                  <w:pPr>
                    <w:pStyle w:val="Compact"/>
                    <w:jc w:val="center"/>
                  </w:pPr>
                  <w:r>
                    <w:t xml:space="preserve">0.44</w:t>
                  </w:r>
                </w:p>
              </w:tc>
              <w:tc>
                <w:tcPr/>
                <w:p>
                  <w:pPr>
                    <w:pStyle w:val="Compact"/>
                    <w:jc w:val="center"/>
                  </w:pPr>
                  <w:r>
                    <w:t xml:space="preserve">Inf</w:t>
                  </w:r>
                </w:p>
              </w:tc>
              <w:tc>
                <w:tcPr/>
                <w:p>
                  <w:pPr>
                    <w:pStyle w:val="Compact"/>
                    <w:jc w:val="center"/>
                  </w:pPr>
                  <w:r>
                    <w:t xml:space="preserve">0.39</w:t>
                  </w:r>
                </w:p>
              </w:tc>
              <w:tc>
                <w:tcPr/>
                <w:p>
                  <w:pPr>
                    <w:pStyle w:val="Compact"/>
                    <w:jc w:val="center"/>
                  </w:pPr>
                  <w:r>
                    <w:t xml:space="preserve">2.11</w:t>
                  </w:r>
                </w:p>
              </w:tc>
            </w:tr>
          </w:tbl>
          <w:bookmarkEnd w:id="5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regen-ba-compare"/>
          <w:p>
            <w:pPr>
              <w:jc w:val="center"/>
            </w:pPr>
            <w:pPr>
              <w:jc w:val="left"/>
              <w:spacing w:before="200"/>
              <w:pStyle w:val="ImageCaption"/>
            </w:pPr>
            <w:r>
              <w:t xml:space="preserve">Table 3.3: Pairwise comparisons of treatments within species. P-values were adjusted using the Tukey method for comparing families of four estimates and they are based on large-sample (asymptotic) normal approximations.</w:t>
            </w:r>
          </w:p>
          <w:tbl>
            <w:tblPr>
              <w:tblStyle w:val="Table"/>
              <w:tblW w:type="pct" w:w="3542"/>
              <w:tblLayout w:type="fixed"/>
              <w:tblLook w:firstRow="1" w:lastRow="0" w:firstColumn="0" w:lastColumn="0" w:noHBand="0" w:noVBand="0" w:val="0020"/>
            </w:tblPr>
            <w:tblGrid>
              <w:gridCol w:w="880"/>
              <w:gridCol w:w="1210"/>
              <w:gridCol w:w="99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 value</w:t>
                  </w:r>
                </w:p>
              </w:tc>
            </w:tr>
            <w:tr>
              <w:tc>
                <w:tcPr/>
                <w:p>
                  <w:pPr>
                    <w:pStyle w:val="Compact"/>
                    <w:jc w:val="center"/>
                  </w:pPr>
                  <w:r>
                    <w:t xml:space="preserve">other</w:t>
                  </w:r>
                </w:p>
              </w:tc>
              <w:tc>
                <w:tcPr/>
                <w:p>
                  <w:pPr>
                    <w:pStyle w:val="Compact"/>
                    <w:jc w:val="center"/>
                  </w:pPr>
                  <w:r>
                    <w:t xml:space="preserve">gs - ld</w:t>
                  </w:r>
                </w:p>
              </w:tc>
              <w:tc>
                <w:tcPr/>
                <w:p>
                  <w:pPr>
                    <w:pStyle w:val="Compact"/>
                    <w:jc w:val="center"/>
                  </w:pPr>
                  <w:r>
                    <w:t xml:space="preserve">0.02</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other</w:t>
                  </w:r>
                </w:p>
              </w:tc>
              <w:tc>
                <w:tcPr/>
                <w:p>
                  <w:pPr>
                    <w:pStyle w:val="Compact"/>
                    <w:jc w:val="center"/>
                  </w:pPr>
                  <w:r>
                    <w:t xml:space="preserve">gs - ha</w:t>
                  </w:r>
                </w:p>
              </w:tc>
              <w:tc>
                <w:tcPr/>
                <w:p>
                  <w:pPr>
                    <w:pStyle w:val="Compact"/>
                    <w:jc w:val="center"/>
                  </w:pPr>
                  <w:r>
                    <w:t xml:space="preserve">0.09</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0.6</w:t>
                  </w:r>
                </w:p>
              </w:tc>
            </w:tr>
            <w:tr>
              <w:tc>
                <w:tcPr/>
                <w:p>
                  <w:pPr>
                    <w:pStyle w:val="Compact"/>
                    <w:jc w:val="center"/>
                  </w:pPr>
                  <w:r>
                    <w:t xml:space="preserve">other</w:t>
                  </w:r>
                </w:p>
              </w:tc>
              <w:tc>
                <w:tcPr/>
                <w:p>
                  <w:pPr>
                    <w:pStyle w:val="Compact"/>
                    <w:jc w:val="center"/>
                  </w:pPr>
                  <w:r>
                    <w:t xml:space="preserve">gs - hd</w:t>
                  </w:r>
                </w:p>
              </w:tc>
              <w:tc>
                <w:tcPr/>
                <w:p>
                  <w:pPr>
                    <w:pStyle w:val="Compact"/>
                    <w:jc w:val="center"/>
                  </w:pPr>
                  <w:r>
                    <w:t xml:space="preserve">-0.03</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0.99</w:t>
                  </w:r>
                </w:p>
              </w:tc>
            </w:tr>
            <w:tr>
              <w:tc>
                <w:tcPr/>
                <w:p>
                  <w:pPr>
                    <w:pStyle w:val="Compact"/>
                    <w:jc w:val="center"/>
                  </w:pPr>
                  <w:r>
                    <w:t xml:space="preserve">other</w:t>
                  </w:r>
                </w:p>
              </w:tc>
              <w:tc>
                <w:tcPr/>
                <w:p>
                  <w:pPr>
                    <w:pStyle w:val="Compact"/>
                    <w:jc w:val="center"/>
                  </w:pPr>
                  <w:r>
                    <w:t xml:space="preserve">ld - ha</w:t>
                  </w:r>
                </w:p>
              </w:tc>
              <w:tc>
                <w:tcPr/>
                <w:p>
                  <w:pPr>
                    <w:pStyle w:val="Compact"/>
                    <w:jc w:val="center"/>
                  </w:pPr>
                  <w:r>
                    <w:t xml:space="preserve">0.08</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0.53</w:t>
                  </w:r>
                </w:p>
              </w:tc>
            </w:tr>
            <w:tr>
              <w:tc>
                <w:tcPr/>
                <w:p>
                  <w:pPr>
                    <w:pStyle w:val="Compact"/>
                    <w:jc w:val="center"/>
                  </w:pPr>
                  <w:r>
                    <w:t xml:space="preserve">other</w:t>
                  </w:r>
                </w:p>
              </w:tc>
              <w:tc>
                <w:tcPr/>
                <w:p>
                  <w:pPr>
                    <w:pStyle w:val="Compact"/>
                    <w:jc w:val="center"/>
                  </w:pPr>
                  <w:r>
                    <w:t xml:space="preserve">ld - hd</w:t>
                  </w:r>
                </w:p>
              </w:tc>
              <w:tc>
                <w:tcPr/>
                <w:p>
                  <w:pPr>
                    <w:pStyle w:val="Compact"/>
                    <w:jc w:val="center"/>
                  </w:pPr>
                  <w:r>
                    <w:t xml:space="preserve">-0.04</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other</w:t>
                  </w:r>
                </w:p>
              </w:tc>
              <w:tc>
                <w:tcPr/>
                <w:p>
                  <w:pPr>
                    <w:pStyle w:val="Compact"/>
                    <w:jc w:val="center"/>
                  </w:pPr>
                  <w:r>
                    <w:t xml:space="preserve">ha - hd</w:t>
                  </w:r>
                </w:p>
              </w:tc>
              <w:tc>
                <w:tcPr/>
                <w:p>
                  <w:pPr>
                    <w:pStyle w:val="Compact"/>
                    <w:jc w:val="center"/>
                  </w:pPr>
                  <w:r>
                    <w:t xml:space="preserve">-0.12</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0.26</w:t>
                  </w:r>
                </w:p>
              </w:tc>
            </w:tr>
            <w:tr>
              <w:tc>
                <w:tcPr/>
                <w:p>
                  <w:pPr>
                    <w:pStyle w:val="Compact"/>
                    <w:jc w:val="center"/>
                  </w:pPr>
                  <w:r>
                    <w:t xml:space="preserve">df</w:t>
                  </w:r>
                </w:p>
              </w:tc>
              <w:tc>
                <w:tcPr/>
                <w:p>
                  <w:pPr>
                    <w:pStyle w:val="Compact"/>
                    <w:jc w:val="center"/>
                  </w:pPr>
                  <w:r>
                    <w:t xml:space="preserve">gs - ld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0.46</w:t>
                  </w:r>
                </w:p>
              </w:tc>
            </w:tr>
            <w:tr>
              <w:tc>
                <w:tcPr/>
                <w:p>
                  <w:pPr>
                    <w:pStyle w:val="Compact"/>
                    <w:jc w:val="center"/>
                  </w:pPr>
                  <w:r>
                    <w:t xml:space="preserve">df</w:t>
                  </w:r>
                </w:p>
              </w:tc>
              <w:tc>
                <w:tcPr/>
                <w:p>
                  <w:pPr>
                    <w:pStyle w:val="Compact"/>
                    <w:jc w:val="center"/>
                  </w:pPr>
                  <w:r>
                    <w:t xml:space="preserve">gs - ha</w:t>
                  </w:r>
                </w:p>
              </w:tc>
              <w:tc>
                <w:tcPr/>
                <w:p>
                  <w:pPr>
                    <w:pStyle w:val="Compact"/>
                    <w:jc w:val="center"/>
                  </w:pPr>
                  <w:r>
                    <w:t xml:space="preserve">0.12</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0.76</w:t>
                  </w:r>
                </w:p>
              </w:tc>
            </w:tr>
            <w:tr>
              <w:tc>
                <w:tcPr/>
                <w:p>
                  <w:pPr>
                    <w:pStyle w:val="Compact"/>
                    <w:jc w:val="center"/>
                  </w:pPr>
                  <w:r>
                    <w:t xml:space="preserve">df</w:t>
                  </w:r>
                </w:p>
              </w:tc>
              <w:tc>
                <w:tcPr/>
                <w:p>
                  <w:pPr>
                    <w:pStyle w:val="Compact"/>
                    <w:jc w:val="center"/>
                  </w:pPr>
                  <w:r>
                    <w:t xml:space="preserve">gs - hd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df</w:t>
                  </w:r>
                </w:p>
              </w:tc>
              <w:tc>
                <w:tcPr/>
                <w:p>
                  <w:pPr>
                    <w:pStyle w:val="Compact"/>
                    <w:jc w:val="center"/>
                  </w:pPr>
                  <w:r>
                    <w:t xml:space="preserve">ld - ha</w:t>
                  </w:r>
                </w:p>
              </w:tc>
              <w:tc>
                <w:tcPr/>
                <w:p>
                  <w:pPr>
                    <w:pStyle w:val="Compact"/>
                    <w:jc w:val="center"/>
                  </w:pPr>
                  <w:r>
                    <w:t xml:space="preserve">-0.05</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0.93</w:t>
                  </w:r>
                </w:p>
              </w:tc>
            </w:tr>
            <w:tr>
              <w:tc>
                <w:tcPr/>
                <w:p>
                  <w:pPr>
                    <w:pStyle w:val="Compact"/>
                    <w:jc w:val="center"/>
                  </w:pPr>
                  <w:r>
                    <w:t xml:space="preserve">df</w:t>
                  </w:r>
                </w:p>
              </w:tc>
              <w:tc>
                <w:tcPr/>
                <w:p>
                  <w:pPr>
                    <w:pStyle w:val="Compact"/>
                    <w:jc w:val="center"/>
                  </w:pPr>
                  <w:r>
                    <w:t xml:space="preserve">ld - hd</w:t>
                  </w:r>
                </w:p>
              </w:tc>
              <w:tc>
                <w:tcPr/>
                <w:p>
                  <w:pPr>
                    <w:pStyle w:val="Compact"/>
                    <w:jc w:val="center"/>
                  </w:pPr>
                  <w:r>
                    <w:t xml:space="preserve">0</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df</w:t>
                  </w:r>
                </w:p>
              </w:tc>
              <w:tc>
                <w:tcPr/>
                <w:p>
                  <w:pPr>
                    <w:pStyle w:val="Compact"/>
                    <w:jc w:val="center"/>
                  </w:pPr>
                  <w:r>
                    <w:t xml:space="preserve">ha - hd</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6.49</w:t>
                  </w:r>
                </w:p>
              </w:tc>
              <w:tc>
                <w:tcPr/>
                <w:p>
                  <w:pPr>
                    <w:pStyle w:val="Compact"/>
                    <w:jc w:val="center"/>
                  </w:pPr>
                  <w:r>
                    <w:t xml:space="preserve">4.6</w:t>
                  </w:r>
                </w:p>
              </w:tc>
              <w:tc>
                <w:tcPr/>
                <w:p>
                  <w:pPr>
                    <w:pStyle w:val="Compact"/>
                    <w:jc w:val="center"/>
                  </w:pPr>
                  <w:r>
                    <w:t xml:space="preserve">Inf</w:t>
                  </w:r>
                </w:p>
              </w:tc>
              <w:tc>
                <w:tcPr/>
                <w:p>
                  <w:pPr>
                    <w:pStyle w:val="Compact"/>
                    <w:jc w:val="center"/>
                  </w:pPr>
                  <w:r>
                    <w:t xml:space="preserve">0.49</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8.61</w:t>
                  </w:r>
                </w:p>
              </w:tc>
              <w:tc>
                <w:tcPr/>
                <w:p>
                  <w:pPr>
                    <w:pStyle w:val="Compact"/>
                    <w:jc w:val="center"/>
                  </w:pPr>
                  <w:r>
                    <w:t xml:space="preserve">4.56</w:t>
                  </w:r>
                </w:p>
              </w:tc>
              <w:tc>
                <w:tcPr/>
                <w:p>
                  <w:pPr>
                    <w:pStyle w:val="Compact"/>
                    <w:jc w:val="center"/>
                  </w:pPr>
                  <w:r>
                    <w:t xml:space="preserve">Inf</w:t>
                  </w:r>
                </w:p>
              </w:tc>
              <w:tc>
                <w:tcPr/>
                <w:p>
                  <w:pPr>
                    <w:pStyle w:val="Compact"/>
                    <w:jc w:val="center"/>
                  </w:pPr>
                  <w:r>
                    <w:t xml:space="preserve">0.23</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9.28</w:t>
                  </w:r>
                </w:p>
              </w:tc>
              <w:tc>
                <w:tcPr/>
                <w:p>
                  <w:pPr>
                    <w:pStyle w:val="Compact"/>
                    <w:jc w:val="center"/>
                  </w:pPr>
                  <w:r>
                    <w:t xml:space="preserve">4.64</w:t>
                  </w:r>
                </w:p>
              </w:tc>
              <w:tc>
                <w:tcPr/>
                <w:p>
                  <w:pPr>
                    <w:pStyle w:val="Compact"/>
                    <w:jc w:val="center"/>
                  </w:pPr>
                  <w:r>
                    <w:t xml:space="preserve">Inf</w:t>
                  </w:r>
                </w:p>
              </w:tc>
              <w:tc>
                <w:tcPr/>
                <w:p>
                  <w:pPr>
                    <w:pStyle w:val="Compact"/>
                    <w:jc w:val="center"/>
                  </w:pPr>
                  <w:r>
                    <w:t xml:space="preserve">0.19</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2.12</w:t>
                  </w:r>
                </w:p>
              </w:tc>
              <w:tc>
                <w:tcPr/>
                <w:p>
                  <w:pPr>
                    <w:pStyle w:val="Compact"/>
                    <w:jc w:val="center"/>
                  </w:pPr>
                  <w:r>
                    <w:t xml:space="preserve">1.8</w:t>
                  </w:r>
                </w:p>
              </w:tc>
              <w:tc>
                <w:tcPr/>
                <w:p>
                  <w:pPr>
                    <w:pStyle w:val="Compact"/>
                    <w:jc w:val="center"/>
                  </w:pPr>
                  <w:r>
                    <w:t xml:space="preserve">Inf</w:t>
                  </w:r>
                </w:p>
              </w:tc>
              <w:tc>
                <w:tcPr/>
                <w:p>
                  <w:pPr>
                    <w:pStyle w:val="Compact"/>
                    <w:jc w:val="center"/>
                  </w:pPr>
                  <w:r>
                    <w:t xml:space="preserve">0.64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2.79</w:t>
                  </w:r>
                </w:p>
              </w:tc>
              <w:tc>
                <w:tcPr/>
                <w:p>
                  <w:pPr>
                    <w:pStyle w:val="Compact"/>
                    <w:jc w:val="center"/>
                  </w:pPr>
                  <w:r>
                    <w:t xml:space="preserve">1.83</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0.67</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0.83</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0.31</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0.97</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1.33</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0.18</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0.99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1.02</w:t>
                  </w:r>
                </w:p>
              </w:tc>
              <w:tc>
                <w:tcPr/>
                <w:p>
                  <w:pPr>
                    <w:pStyle w:val="Compact"/>
                    <w:jc w:val="center"/>
                  </w:pPr>
                  <w:r>
                    <w:t xml:space="preserve">0.58</w:t>
                  </w:r>
                </w:p>
              </w:tc>
              <w:tc>
                <w:tcPr/>
                <w:p>
                  <w:pPr>
                    <w:pStyle w:val="Compact"/>
                    <w:jc w:val="center"/>
                  </w:pPr>
                  <w:r>
                    <w:t xml:space="preserve">Inf</w:t>
                  </w:r>
                </w:p>
              </w:tc>
              <w:tc>
                <w:tcPr/>
                <w:p>
                  <w:pPr>
                    <w:pStyle w:val="Compact"/>
                    <w:jc w:val="center"/>
                  </w:pPr>
                  <w:r>
                    <w:t xml:space="preserve">0.29</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0.69</w:t>
                  </w:r>
                </w:p>
              </w:tc>
              <w:tc>
                <w:tcPr/>
                <w:p>
                  <w:pPr>
                    <w:pStyle w:val="Compact"/>
                    <w:jc w:val="center"/>
                  </w:pPr>
                  <w:r>
                    <w:t xml:space="preserve">0.57</w:t>
                  </w:r>
                </w:p>
              </w:tc>
              <w:tc>
                <w:tcPr/>
                <w:p>
                  <w:pPr>
                    <w:pStyle w:val="Compact"/>
                    <w:jc w:val="center"/>
                  </w:pPr>
                  <w:r>
                    <w:t xml:space="preserve">Inf</w:t>
                  </w:r>
                </w:p>
              </w:tc>
              <w:tc>
                <w:tcPr/>
                <w:p>
                  <w:pPr>
                    <w:pStyle w:val="Compact"/>
                    <w:jc w:val="center"/>
                  </w:pPr>
                  <w:r>
                    <w:t xml:space="preserve">0.63</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-0.33</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0.8</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In the HD</w:t>
      </w:r>
      <w:r>
        <w:t xml:space="preserve"> </w:t>
      </w:r>
      <w:r>
        <w:t xml:space="preserve">treatment redwood and tanoak average basal area uncertainty across sites is very</w:t>
      </w:r>
      <w:r>
        <w:t xml:space="preserve"> </w:t>
      </w:r>
      <w:r>
        <w:t xml:space="preserve">similar. (</w:t>
      </w:r>
      <w:hyperlink w:anchor="fig-regen-ba-rw-to">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72" w:name="douglas-fir-counts"/>
    <w:p>
      <w:pPr>
        <w:pStyle w:val="Heading3"/>
      </w:pPr>
      <w:r>
        <w:t xml:space="preserve">3.1.2 Douglas-fir counts</w:t>
      </w:r>
    </w:p>
    <w:p>
      <w:pPr>
        <w:pStyle w:val="FirstParagraph"/>
      </w:pPr>
      <w:r>
        <w:t xml:space="preserve">Counts of regenerating Douglas-fir seedlings per vegetation plot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site x treatment interaction (</w:t>
      </w:r>
      <w:hyperlink w:anchor="lst-df-counts">
        <w:r>
          <w:rPr>
            <w:rStyle w:val="Hyperlink"/>
          </w:rPr>
          <w:t xml:space="preserve">Listing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lst-df-counts"/>
          <w:p>
            <w:pPr>
              <w:jc w:val="center"/>
            </w:pPr>
            <w:pPr>
              <w:jc w:val="lef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6"/>
        </w:tc>
      </w:tr>
    </w:tbl>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fig-df-counts"/>
          <w:p>
            <w:pPr>
              <w:pStyle w:val="Compact"/>
              <w:jc w:val="center"/>
            </w:pPr>
            <w:r>
              <w:drawing>
                <wp:inline>
                  <wp:extent cx="4620126" cy="3696101"/>
                  <wp:effectExtent b="0" l="0" r="0" t="0"/>
                  <wp:docPr descr="" title="" id="68" name="Picture"/>
                  <a:graphic>
                    <a:graphicData uri="http://schemas.openxmlformats.org/drawingml/2006/picture">
                      <pic:pic>
                        <pic:nvPicPr>
                          <pic:cNvPr descr="thesis/results_files/figure-docx/fig-df-counts-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3.3: Vegetation plot level counts of regenerating Douglas-fir seedlings in four harvest treatments 10 years after harvest (n = 16). Results have been scaled to stems per hectare (4-meter radius plots). The asymptotic 95% confidence intervals are based on the normal approximation.</w:t>
            </w:r>
          </w:p>
          <w:bookmarkEnd w:id="70"/>
        </w:tc>
      </w:tr>
    </w:tbl>
    <w:tbl>
      <w:tblPr>
        <w:tblStyle w:val="Table"/>
        <w:tblW w:type="pct" w:w="5000"/>
        <w:tblLayout w:type="fixed"/>
        <w:tblLook w:firstRow="0" w:lastRow="0" w:firstColumn="0" w:lastColumn="0" w:noHBand="0" w:noVBand="0" w:val="0000"/>
      </w:tblPr>
      <w:tblGrid>
        <w:gridCol w:w="7920"/>
      </w:tblGrid>
      <w:tr>
        <w:tc>
          <w:tcPr/>
          <w:bookmarkStart w:id="71" w:name="tbl-df-counts"/>
          <w:p>
            <w:pPr>
              <w:jc w:val="center"/>
            </w:pPr>
            <w:pPr>
              <w:jc w:val="left"/>
              <w:spacing w:before="200"/>
              <w:pStyle w:val="ImageCaption"/>
            </w:pPr>
            <w:r>
              <w:t xml:space="preserve">Table 3.4: Vegetation plot level counts of regenerating Douglas-fir seedlings in four harvest treatments 10 years after harvest (n = 16). Results have been scaled to stems per hectare from 4-meter radius plots. The asymptotic 95% confidence intervals are based on the normal approximation.</w:t>
            </w:r>
          </w:p>
          <w:tbl>
            <w:tblPr>
              <w:tblStyle w:val="Table"/>
              <w:tblW w:type="pct" w:w="3264"/>
              <w:tblLayout w:type="fixed"/>
              <w:tblLook w:firstRow="1" w:lastRow="0" w:firstColumn="0" w:lastColumn="0" w:noHBand="0" w:noVBand="0" w:val="0020"/>
            </w:tblPr>
            <w:tblGrid>
              <w:gridCol w:w="1320"/>
              <w:gridCol w:w="1210"/>
              <w:gridCol w:w="1320"/>
              <w:gridCol w:w="1320"/>
            </w:tblGrid>
            <w:tr>
              <w:trPr>
                <w:tblHeader w:val="on"/>
              </w:trPr>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gs</w:t>
                  </w:r>
                </w:p>
              </w:tc>
              <w:tc>
                <w:tcPr/>
                <w:p>
                  <w:pPr>
                    <w:pStyle w:val="Compact"/>
                    <w:jc w:val="center"/>
                  </w:pPr>
                  <w:r>
                    <w:t xml:space="preserve">479</w:t>
                  </w:r>
                </w:p>
              </w:tc>
              <w:tc>
                <w:tcPr/>
                <w:p>
                  <w:pPr>
                    <w:pStyle w:val="Compact"/>
                    <w:jc w:val="center"/>
                  </w:pPr>
                  <w:r>
                    <w:t xml:space="preserve">88</w:t>
                  </w:r>
                </w:p>
              </w:tc>
              <w:tc>
                <w:tcPr/>
                <w:p>
                  <w:pPr>
                    <w:pStyle w:val="Compact"/>
                    <w:jc w:val="center"/>
                  </w:pPr>
                  <w:r>
                    <w:t xml:space="preserve">869</w:t>
                  </w:r>
                </w:p>
              </w:tc>
            </w:tr>
            <w:tr>
              <w:tc>
                <w:tcPr/>
                <w:p>
                  <w:pPr>
                    <w:pStyle w:val="Compact"/>
                    <w:jc w:val="center"/>
                  </w:pPr>
                  <w:r>
                    <w:t xml:space="preserve">ld</w:t>
                  </w:r>
                </w:p>
              </w:tc>
              <w:tc>
                <w:tcPr/>
                <w:p>
                  <w:pPr>
                    <w:pStyle w:val="Compact"/>
                    <w:jc w:val="center"/>
                  </w:pPr>
                  <w:r>
                    <w:t xml:space="preserve">394</w:t>
                  </w:r>
                </w:p>
              </w:tc>
              <w:tc>
                <w:tcPr/>
                <w:p>
                  <w:pPr>
                    <w:pStyle w:val="Compact"/>
                    <w:jc w:val="center"/>
                  </w:pPr>
                  <w:r>
                    <w:t xml:space="preserve">60</w:t>
                  </w:r>
                </w:p>
              </w:tc>
              <w:tc>
                <w:tcPr/>
                <w:p>
                  <w:pPr>
                    <w:pStyle w:val="Compact"/>
                    <w:jc w:val="center"/>
                  </w:pPr>
                  <w:r>
                    <w:t xml:space="preserve">728</w:t>
                  </w:r>
                </w:p>
              </w:tc>
            </w:tr>
            <w:tr>
              <w:tc>
                <w:tcPr/>
                <w:p>
                  <w:pPr>
                    <w:pStyle w:val="Compact"/>
                    <w:jc w:val="center"/>
                  </w:pPr>
                  <w:r>
                    <w:t xml:space="preserve">ha</w:t>
                  </w:r>
                </w:p>
              </w:tc>
              <w:tc>
                <w:tcPr/>
                <w:p>
                  <w:pPr>
                    <w:pStyle w:val="Compact"/>
                    <w:jc w:val="center"/>
                  </w:pPr>
                  <w:r>
                    <w:t xml:space="preserve">435</w:t>
                  </w:r>
                </w:p>
              </w:tc>
              <w:tc>
                <w:tcPr/>
                <w:p>
                  <w:pPr>
                    <w:pStyle w:val="Compact"/>
                    <w:jc w:val="center"/>
                  </w:pPr>
                  <w:r>
                    <w:t xml:space="preserve">65</w:t>
                  </w:r>
                </w:p>
              </w:tc>
              <w:tc>
                <w:tcPr/>
                <w:p>
                  <w:pPr>
                    <w:pStyle w:val="Compact"/>
                    <w:jc w:val="center"/>
                  </w:pPr>
                  <w:r>
                    <w:t xml:space="preserve">805</w:t>
                  </w:r>
                </w:p>
              </w:tc>
            </w:tr>
            <w:tr>
              <w:tc>
                <w:tcPr/>
                <w:p>
                  <w:pPr>
                    <w:pStyle w:val="Compact"/>
                    <w:jc w:val="center"/>
                  </w:pPr>
                  <w:r>
                    <w:t xml:space="preserve">hd</w:t>
                  </w:r>
                </w:p>
              </w:tc>
              <w:tc>
                <w:tcPr/>
                <w:p>
                  <w:pPr>
                    <w:pStyle w:val="Compact"/>
                    <w:jc w:val="center"/>
                  </w:pPr>
                  <w:r>
                    <w:t xml:space="preserve">632</w:t>
                  </w:r>
                </w:p>
              </w:tc>
              <w:tc>
                <w:tcPr/>
                <w:p>
                  <w:pPr>
                    <w:pStyle w:val="Compact"/>
                    <w:jc w:val="center"/>
                  </w:pPr>
                  <w:r>
                    <w:t xml:space="preserve">149</w:t>
                  </w:r>
                </w:p>
              </w:tc>
              <w:tc>
                <w:tcPr/>
                <w:p>
                  <w:pPr>
                    <w:pStyle w:val="Compact"/>
                    <w:jc w:val="center"/>
                  </w:pPr>
                  <w:r>
                    <w:t xml:space="preserve">1115</w:t>
                  </w:r>
                </w:p>
              </w:tc>
            </w:tr>
          </w:tbl>
          <w:bookmarkEnd w:id="71"/>
          <w:p/>
        </w:tc>
      </w:tr>
    </w:tbl>
    <w:bookmarkEnd w:id="72"/>
    <w:bookmarkEnd w:id="73"/>
    <w:bookmarkStart w:id="94" w:name="sprout-heights-1"/>
    <w:p>
      <w:pPr>
        <w:pStyle w:val="Heading2"/>
      </w:pPr>
      <w:r>
        <w:t xml:space="preserve">3.2 Sprout heights</w:t>
      </w:r>
    </w:p>
    <w:bookmarkStart w:id="85"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lst-sprout-ht-inc"/>
          <w:p>
            <w:pPr>
              <w:jc w:val="center"/>
            </w:pPr>
            <w:pPr>
              <w:jc w:val="lef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4"/>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indicated that</w:t>
      </w:r>
      <w:r>
        <w:t xml:space="preserve"> </w:t>
      </w:r>
      <w:r>
        <w:t xml:space="preserve">the levels of treatment were associated with different growth rates across</w:t>
      </w:r>
      <w:r>
        <w:t xml:space="preserve"> </w:t>
      </w:r>
      <w:r>
        <w:t xml:space="preserve">species and years. And the species x year interaction (p &lt; 0.001) suggested that</w:t>
      </w:r>
      <w:r>
        <w:t xml:space="preserve"> </w:t>
      </w:r>
      <w:r>
        <w:t xml:space="preserve">changes in growth rates were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w:t>
      </w:r>
      <w:r>
        <w:t xml:space="preserve"> </w:t>
      </w:r>
      <w:r>
        <w:t xml:space="preserve">0.3</w:t>
      </w:r>
      <w:r>
        <w:t xml:space="preserve"> </w:t>
      </w:r>
      <w:r>
        <w:t xml:space="preserve">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ayout w:type="fixed"/>
        <w:tblLook w:firstRow="0" w:lastRow="0" w:firstColumn="0" w:lastColumn="0" w:noHBand="0" w:noVBand="0" w:val="0000"/>
      </w:tblPr>
      <w:tblGrid>
        <w:gridCol w:w="7920"/>
      </w:tblGrid>
      <w:tr>
        <w:tc>
          <w:tcPr/>
          <w:bookmarkStart w:id="78" w:name="fig-sprout-ht-inc-treat"/>
          <w:p>
            <w:pPr>
              <w:pStyle w:val="Compact"/>
              <w:jc w:val="center"/>
            </w:pPr>
            <w:r>
              <w:drawing>
                <wp:inline>
                  <wp:extent cx="4620126" cy="3696101"/>
                  <wp:effectExtent b="0" l="0" r="0" t="0"/>
                  <wp:docPr descr="" title="" id="76" name="Picture"/>
                  <a:graphic>
                    <a:graphicData uri="http://schemas.openxmlformats.org/drawingml/2006/picture">
                      <pic:pic>
                        <pic:nvPicPr>
                          <pic:cNvPr descr="thesis/results_files/figure-docx/fig-sprout-ht-inc-treat-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8"/>
        </w:tc>
      </w:tr>
    </w:tbl>
    <w:tbl>
      <w:tblPr>
        <w:tblStyle w:val="Table"/>
        <w:tblW w:type="pct" w:w="5000"/>
        <w:tblLayout w:type="fixed"/>
        <w:tblLook w:firstRow="0" w:lastRow="0" w:firstColumn="0" w:lastColumn="0" w:noHBand="0" w:noVBand="0" w:val="0000"/>
      </w:tblPr>
      <w:tblGrid>
        <w:gridCol w:w="7920"/>
      </w:tblGrid>
      <w:tr>
        <w:tc>
          <w:tcPr/>
          <w:bookmarkStart w:id="79" w:name="tbl-sprout-ht-inc-treat"/>
          <w:p>
            <w:pPr>
              <w:jc w:val="center"/>
            </w:pPr>
            <w:pPr>
              <w:jc w:val="left"/>
              <w:spacing w:before="200"/>
              <w:pStyle w:val="ImageCaption"/>
            </w:pPr>
            <w:r>
              <w:t xml:space="preserve">Table 3.5: Estimated marginal means for the effect of harvest treatment on redwood and tanoak sprout height increment, averaged over two growth periods, ten years after harvest. The asymptotic 95% confidence intervals are based on the normal approximation.</w:t>
            </w:r>
          </w:p>
          <w:tbl>
            <w:tblPr>
              <w:tblStyle w:val="Table"/>
              <w:tblW w:type="pct" w:w="4658"/>
              <w:tblLayout w:type="fixed"/>
              <w:tblLook w:firstRow="1" w:lastRow="0" w:firstColumn="0" w:lastColumn="0" w:noHBand="0" w:noVBand="0" w:val="0020"/>
            </w:tblPr>
            <w:tblGrid>
              <w:gridCol w:w="759"/>
              <w:gridCol w:w="1301"/>
              <w:gridCol w:w="1193"/>
              <w:gridCol w:w="867"/>
              <w:gridCol w:w="650"/>
              <w:gridCol w:w="1301"/>
              <w:gridCol w:w="1301"/>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0.48</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0.41</w:t>
                  </w:r>
                </w:p>
              </w:tc>
              <w:tc>
                <w:tcPr/>
                <w:p>
                  <w:pPr>
                    <w:pStyle w:val="Compact"/>
                    <w:jc w:val="center"/>
                  </w:pPr>
                  <w:r>
                    <w:t xml:space="preserve">0.54</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0.39</w:t>
                  </w:r>
                </w:p>
              </w:tc>
              <w:tc>
                <w:tcPr/>
                <w:p>
                  <w:pPr>
                    <w:pStyle w:val="Compact"/>
                    <w:jc w:val="center"/>
                  </w:pPr>
                  <w:r>
                    <w:t xml:space="preserve">0.033</w:t>
                  </w:r>
                </w:p>
              </w:tc>
              <w:tc>
                <w:tcPr/>
                <w:p>
                  <w:pPr>
                    <w:pStyle w:val="Compact"/>
                    <w:jc w:val="center"/>
                  </w:pPr>
                  <w:r>
                    <w:t xml:space="preserve">Inf</w:t>
                  </w:r>
                </w:p>
              </w:tc>
              <w:tc>
                <w:tcPr/>
                <w:p>
                  <w:pPr>
                    <w:pStyle w:val="Compact"/>
                    <w:jc w:val="center"/>
                  </w:pPr>
                  <w:r>
                    <w:t xml:space="preserve">0.32</w:t>
                  </w:r>
                </w:p>
              </w:tc>
              <w:tc>
                <w:tcPr/>
                <w:p>
                  <w:pPr>
                    <w:pStyle w:val="Compact"/>
                    <w:jc w:val="center"/>
                  </w:pPr>
                  <w:r>
                    <w:t xml:space="preserve">0.46</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0.31</w:t>
                  </w:r>
                </w:p>
              </w:tc>
              <w:tc>
                <w:tcPr/>
                <w:p>
                  <w:pPr>
                    <w:pStyle w:val="Compact"/>
                    <w:jc w:val="center"/>
                  </w:pPr>
                  <w:r>
                    <w:t xml:space="preserve">0.032</w:t>
                  </w:r>
                </w:p>
              </w:tc>
              <w:tc>
                <w:tcPr/>
                <w:p>
                  <w:pPr>
                    <w:pStyle w:val="Compact"/>
                    <w:jc w:val="center"/>
                  </w:pPr>
                  <w:r>
                    <w:t xml:space="preserve">Inf</w:t>
                  </w:r>
                </w:p>
              </w:tc>
              <w:tc>
                <w:tcPr/>
                <w:p>
                  <w:pPr>
                    <w:pStyle w:val="Compact"/>
                    <w:jc w:val="center"/>
                  </w:pPr>
                  <w:r>
                    <w:t xml:space="preserve">0.24</w:t>
                  </w:r>
                </w:p>
              </w:tc>
              <w:tc>
                <w:tcPr/>
                <w:p>
                  <w:pPr>
                    <w:pStyle w:val="Compact"/>
                    <w:jc w:val="center"/>
                  </w:pPr>
                  <w:r>
                    <w:t xml:space="preserve">0.37</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0.3</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0.23</w:t>
                  </w:r>
                </w:p>
              </w:tc>
              <w:tc>
                <w:tcPr/>
                <w:p>
                  <w:pPr>
                    <w:pStyle w:val="Compact"/>
                    <w:jc w:val="center"/>
                  </w:pPr>
                  <w:r>
                    <w:t xml:space="preserve">0.37</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0.96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0.86</w:t>
                  </w:r>
                </w:p>
              </w:tc>
              <w:tc>
                <w:tcPr/>
                <w:p>
                  <w:pPr>
                    <w:pStyle w:val="Compact"/>
                    <w:jc w:val="center"/>
                  </w:pPr>
                  <w:r>
                    <w:t xml:space="preserve">1.06</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0.79</w:t>
                  </w:r>
                </w:p>
              </w:tc>
              <w:tc>
                <w:tcPr/>
                <w:p>
                  <w:pPr>
                    <w:pStyle w:val="Compact"/>
                    <w:jc w:val="center"/>
                  </w:pPr>
                  <w:r>
                    <w:t xml:space="preserve">0.051</w:t>
                  </w:r>
                </w:p>
              </w:tc>
              <w:tc>
                <w:tcPr/>
                <w:p>
                  <w:pPr>
                    <w:pStyle w:val="Compact"/>
                    <w:jc w:val="center"/>
                  </w:pPr>
                  <w:r>
                    <w:t xml:space="preserve">Inf</w:t>
                  </w:r>
                </w:p>
              </w:tc>
              <w:tc>
                <w:tcPr/>
                <w:p>
                  <w:pPr>
                    <w:pStyle w:val="Compact"/>
                    <w:jc w:val="center"/>
                  </w:pPr>
                  <w:r>
                    <w:t xml:space="preserve">0.69</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0.63</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0.54</w:t>
                  </w:r>
                </w:p>
              </w:tc>
              <w:tc>
                <w:tcPr/>
                <w:p>
                  <w:pPr>
                    <w:pStyle w:val="Compact"/>
                    <w:jc w:val="center"/>
                  </w:pPr>
                  <w:r>
                    <w:t xml:space="preserve">0.73</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0.56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0.46</w:t>
                  </w:r>
                </w:p>
              </w:tc>
              <w:tc>
                <w:tcPr/>
                <w:p>
                  <w:pPr>
                    <w:pStyle w:val="Compact"/>
                    <w:jc w:val="center"/>
                  </w:pPr>
                  <w:r>
                    <w:t xml:space="preserve">0.66</w:t>
                  </w:r>
                </w:p>
              </w:tc>
            </w:tr>
          </w:tbl>
          <w:bookmarkEnd w:id="79"/>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tbl>
      <w:tblPr>
        <w:tblStyle w:val="Table"/>
        <w:tblW w:type="pct" w:w="5000"/>
        <w:tblLayout w:type="fixed"/>
        <w:tblLook w:firstRow="0" w:lastRow="0" w:firstColumn="0" w:lastColumn="0" w:noHBand="0" w:noVBand="0" w:val="0000"/>
      </w:tblPr>
      <w:tblGrid>
        <w:gridCol w:w="7920"/>
      </w:tblGrid>
      <w:tr>
        <w:tc>
          <w:tcPr/>
          <w:bookmarkStart w:id="84" w:name="tbl-sprout-ht-inc-year"/>
          <w:p>
            <w:pPr>
              <w:jc w:val="center"/>
            </w:pPr>
            <w:pPr>
              <w:jc w:val="left"/>
              <w:spacing w:before="200"/>
              <w:pStyle w:val="ImageCaption"/>
            </w:pPr>
            <w:r>
              <w:t xml:space="preserve">Table 3.6: Estimated marginal means for the effect of growth period on redwood and tanoak sprout height increment, averaged over four harvest treatments, from years 1 to 5, and years 5 to 10 after harvest. The asymptotic 95% confidence intervals are based on the normal approximation.</w:t>
            </w:r>
          </w:p>
          <w:tbl>
            <w:tblPr>
              <w:tblStyle w:val="Table"/>
              <w:tblW w:type="pct" w:w="4375"/>
              <w:tblLayout w:type="fixed"/>
              <w:tblLook w:firstRow="1" w:lastRow="0" w:firstColumn="0" w:lastColumn="0" w:noHBand="0" w:noVBand="0" w:val="0020"/>
            </w:tblPr>
            <w:tblGrid>
              <w:gridCol w:w="770"/>
              <w:gridCol w:w="770"/>
              <w:gridCol w:w="1210"/>
              <w:gridCol w:w="88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5</w:t>
                  </w:r>
                </w:p>
              </w:tc>
              <w:tc>
                <w:tcPr/>
                <w:p>
                  <w:pPr>
                    <w:pStyle w:val="Compact"/>
                    <w:jc w:val="center"/>
                  </w:pPr>
                  <w:r>
                    <w:t xml:space="preserve">0.39</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0.35</w:t>
                  </w:r>
                </w:p>
              </w:tc>
              <w:tc>
                <w:tcPr/>
                <w:p>
                  <w:pPr>
                    <w:pStyle w:val="Compact"/>
                    <w:jc w:val="center"/>
                  </w:pPr>
                  <w:r>
                    <w:t xml:space="preserve">0.42</w:t>
                  </w:r>
                </w:p>
              </w:tc>
            </w:tr>
            <w:tr>
              <w:tc>
                <w:tcPr/>
                <w:p>
                  <w:pPr>
                    <w:pStyle w:val="Compact"/>
                    <w:jc w:val="center"/>
                  </w:pPr>
                  <w:r>
                    <w:t xml:space="preserve">LIDE</w:t>
                  </w:r>
                </w:p>
              </w:tc>
              <w:tc>
                <w:tcPr/>
                <w:p>
                  <w:pPr>
                    <w:pStyle w:val="Compact"/>
                    <w:jc w:val="center"/>
                  </w:pPr>
                  <w:r>
                    <w:t xml:space="preserve">10</w:t>
                  </w:r>
                </w:p>
              </w:tc>
              <w:tc>
                <w:tcPr/>
                <w:p>
                  <w:pPr>
                    <w:pStyle w:val="Compact"/>
                    <w:jc w:val="center"/>
                  </w:pPr>
                  <w:r>
                    <w:t xml:space="preserve">0.35</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0.31</w:t>
                  </w:r>
                </w:p>
              </w:tc>
              <w:tc>
                <w:tcPr/>
                <w:p>
                  <w:pPr>
                    <w:pStyle w:val="Compact"/>
                    <w:jc w:val="center"/>
                  </w:pPr>
                  <w:r>
                    <w:t xml:space="preserve">0.38</w:t>
                  </w:r>
                </w:p>
              </w:tc>
            </w:tr>
            <w:tr>
              <w:tc>
                <w:tcPr/>
                <w:p>
                  <w:pPr>
                    <w:pStyle w:val="Compact"/>
                    <w:jc w:val="center"/>
                  </w:pPr>
                  <w:r>
                    <w:t xml:space="preserve">SESE</w:t>
                  </w:r>
                </w:p>
              </w:tc>
              <w:tc>
                <w:tcPr/>
                <w:p>
                  <w:pPr>
                    <w:pStyle w:val="Compact"/>
                    <w:jc w:val="center"/>
                  </w:pPr>
                  <w:r>
                    <w:t xml:space="preserve">5</w:t>
                  </w:r>
                </w:p>
              </w:tc>
              <w:tc>
                <w:tcPr/>
                <w:p>
                  <w:pPr>
                    <w:pStyle w:val="Compact"/>
                    <w:jc w:val="center"/>
                  </w:pPr>
                  <w:r>
                    <w:t xml:space="preserve">0.8</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0.72</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10</w:t>
                  </w:r>
                </w:p>
              </w:tc>
              <w:tc>
                <w:tcPr/>
                <w:p>
                  <w:pPr>
                    <w:pStyle w:val="Compact"/>
                    <w:jc w:val="center"/>
                  </w:pPr>
                  <w:r>
                    <w:t xml:space="preserve">0.67</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0.59</w:t>
                  </w:r>
                </w:p>
              </w:tc>
              <w:tc>
                <w:tcPr/>
                <w:p>
                  <w:pPr>
                    <w:pStyle w:val="Compact"/>
                    <w:jc w:val="center"/>
                  </w:pPr>
                  <w:r>
                    <w:t xml:space="preserve">0.75</w:t>
                  </w:r>
                </w:p>
              </w:tc>
            </w:tr>
          </w:tbl>
          <w:bookmarkEnd w:id="84"/>
          <w:p/>
        </w:tc>
      </w:tr>
    </w:tbl>
    <w:bookmarkEnd w:id="85"/>
    <w:bookmarkStart w:id="93"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6" w:name="lst-sprout-ht-yr-10"/>
          <w:p>
            <w:pPr>
              <w:jc w:val="center"/>
            </w:pPr>
            <w:pPr>
              <w:jc w:val="lef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6"/>
        </w:tc>
      </w:tr>
    </w:tbl>
    <w:p>
      <w:pPr>
        <w:pStyle w:val="FirstParagraph"/>
      </w:pPr>
      <w:r>
        <w:t xml:space="preserve">Because the best model did not contain a species x treatment interaction for the</w:t>
      </w:r>
      <w:r>
        <w:t xml:space="preserve"> </w:t>
      </w:r>
      <w:r>
        <w:t xml:space="preserve">mean response, treatment comparisons were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m in the GS treatment to</w:t>
      </w:r>
      <w:r>
        <w:t xml:space="preserve"> </w:t>
      </w:r>
      <w:r>
        <w:t xml:space="preserve">3.08 m in the HD treatment. Predicted mean</w:t>
      </w:r>
      <w:r>
        <w:t xml:space="preserve"> </w:t>
      </w:r>
      <w:r>
        <w:t xml:space="preserve">heights followed the pattern GS &gt; LD &gt; HA ≥ HD (</w:t>
      </w:r>
      <w:hyperlink w:anchor="fig-sprout-ht-yr-10">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0" w:name="fig-sprout-ht-yr-10"/>
          <w:p>
            <w:pPr>
              <w:pStyle w:val="Compact"/>
              <w:jc w:val="center"/>
            </w:pPr>
            <w:r>
              <w:drawing>
                <wp:inline>
                  <wp:extent cx="4620126" cy="3696101"/>
                  <wp:effectExtent b="0" l="0" r="0" t="0"/>
                  <wp:docPr descr="" title="" id="88" name="Picture"/>
                  <a:graphic>
                    <a:graphicData uri="http://schemas.openxmlformats.org/drawingml/2006/picture">
                      <pic:pic>
                        <pic:nvPicPr>
                          <pic:cNvPr descr="thesis/results_files/figure-docx/fig-sprout-ht-yr-10-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0"/>
        </w:tc>
      </w:tr>
    </w:tbl>
    <w:tbl>
      <w:tblPr>
        <w:tblStyle w:val="Table"/>
        <w:tblW w:type="pct" w:w="5000"/>
        <w:tblLayout w:type="fixed"/>
        <w:tblLook w:firstRow="0" w:lastRow="0" w:firstColumn="0" w:lastColumn="0" w:noHBand="0" w:noVBand="0" w:val="0000"/>
      </w:tblPr>
      <w:tblGrid>
        <w:gridCol w:w="7920"/>
      </w:tblGrid>
      <w:tr>
        <w:tc>
          <w:tcPr/>
          <w:bookmarkStart w:id="91" w:name="tbl-ht-year-10"/>
          <w:p>
            <w:pPr>
              <w:jc w:val="center"/>
            </w:pPr>
            <w:pPr>
              <w:jc w:val="left"/>
              <w:spacing w:before="200"/>
              <w:pStyle w:val="ImageCaption"/>
            </w:pPr>
            <w:r>
              <w:t xml:space="preserve">Table 3.7: Height (m) of measured redwood and tanaok sprouts 10 years after harvest treatments with four different over-story densities. The asymptotic 95% confidence intervals are based on the normal approximation.</w:t>
            </w:r>
          </w:p>
          <w:tbl>
            <w:tblPr>
              <w:tblStyle w:val="Table"/>
              <w:tblW w:type="pct" w:w="4306"/>
              <w:tblLayout w:type="fixed"/>
              <w:tblLook w:firstRow="1" w:lastRow="0" w:firstColumn="0" w:lastColumn="0" w:noHBand="0" w:noVBand="0" w:val="0020"/>
            </w:tblPr>
            <w:tblGrid>
              <w:gridCol w:w="770"/>
              <w:gridCol w:w="770"/>
              <w:gridCol w:w="1210"/>
              <w:gridCol w:w="77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5.2</w:t>
                  </w:r>
                </w:p>
              </w:tc>
              <w:tc>
                <w:tcPr/>
                <w:p>
                  <w:pPr>
                    <w:pStyle w:val="Compact"/>
                    <w:jc w:val="center"/>
                  </w:pPr>
                  <w:r>
                    <w:t xml:space="preserve">0.41</w:t>
                  </w:r>
                </w:p>
              </w:tc>
              <w:tc>
                <w:tcPr/>
                <w:p>
                  <w:pPr>
                    <w:pStyle w:val="Compact"/>
                    <w:jc w:val="center"/>
                  </w:pPr>
                  <w:r>
                    <w:t xml:space="preserve">Inf</w:t>
                  </w:r>
                </w:p>
              </w:tc>
              <w:tc>
                <w:tcPr/>
                <w:p>
                  <w:pPr>
                    <w:pStyle w:val="Compact"/>
                    <w:jc w:val="center"/>
                  </w:pPr>
                  <w:r>
                    <w:t xml:space="preserve">4.4</w:t>
                  </w:r>
                </w:p>
              </w:tc>
              <w:tc>
                <w:tcPr/>
                <w:p>
                  <w:pPr>
                    <w:pStyle w:val="Compact"/>
                    <w:jc w:val="center"/>
                  </w:pPr>
                  <w:r>
                    <w:t xml:space="preserve">6</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3.9</w:t>
                  </w:r>
                </w:p>
              </w:tc>
              <w:tc>
                <w:tcPr/>
                <w:p>
                  <w:pPr>
                    <w:pStyle w:val="Compact"/>
                    <w:jc w:val="center"/>
                  </w:pPr>
                  <w:r>
                    <w:t xml:space="preserve">0.31</w:t>
                  </w:r>
                </w:p>
              </w:tc>
              <w:tc>
                <w:tcPr/>
                <w:p>
                  <w:pPr>
                    <w:pStyle w:val="Compact"/>
                    <w:jc w:val="center"/>
                  </w:pPr>
                  <w:r>
                    <w:t xml:space="preserve">Inf</w:t>
                  </w:r>
                </w:p>
              </w:tc>
              <w:tc>
                <w:tcPr/>
                <w:p>
                  <w:pPr>
                    <w:pStyle w:val="Compact"/>
                    <w:jc w:val="center"/>
                  </w:pPr>
                  <w:r>
                    <w:t xml:space="preserve">3.3</w:t>
                  </w:r>
                </w:p>
              </w:tc>
              <w:tc>
                <w:tcPr/>
                <w:p>
                  <w:pPr>
                    <w:pStyle w:val="Compact"/>
                    <w:jc w:val="center"/>
                  </w:pPr>
                  <w:r>
                    <w:t xml:space="preserve">4.5</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3.3</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2.8</w:t>
                  </w:r>
                </w:p>
              </w:tc>
              <w:tc>
                <w:tcPr/>
                <w:p>
                  <w:pPr>
                    <w:pStyle w:val="Compact"/>
                    <w:jc w:val="center"/>
                  </w:pPr>
                  <w:r>
                    <w:t xml:space="preserve">3.8</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2.6</w:t>
                  </w:r>
                </w:p>
              </w:tc>
              <w:tc>
                <w:tcPr/>
                <w:p>
                  <w:pPr>
                    <w:pStyle w:val="Compact"/>
                    <w:jc w:val="center"/>
                  </w:pPr>
                  <w:r>
                    <w:t xml:space="preserve">3.6</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10.6</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8.9</w:t>
                  </w:r>
                </w:p>
              </w:tc>
              <w:tc>
                <w:tcPr/>
                <w:p>
                  <w:pPr>
                    <w:pStyle w:val="Compact"/>
                    <w:jc w:val="center"/>
                  </w:pPr>
                  <w:r>
                    <w:t xml:space="preserve">12.4</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8</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6.6</w:t>
                  </w:r>
                </w:p>
              </w:tc>
              <w:tc>
                <w:tcPr/>
                <w:p>
                  <w:pPr>
                    <w:pStyle w:val="Compact"/>
                    <w:jc w:val="center"/>
                  </w:pPr>
                  <w:r>
                    <w:t xml:space="preserve">9.3</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6.7</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5.5</w:t>
                  </w:r>
                </w:p>
              </w:tc>
              <w:tc>
                <w:tcPr/>
                <w:p>
                  <w:pPr>
                    <w:pStyle w:val="Compact"/>
                    <w:jc w:val="center"/>
                  </w:pPr>
                  <w:r>
                    <w:t xml:space="preserve">7.8</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6.3</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5.2</w:t>
                  </w:r>
                </w:p>
              </w:tc>
              <w:tc>
                <w:tcPr/>
                <w:p>
                  <w:pPr>
                    <w:pStyle w:val="Compact"/>
                    <w:jc w:val="center"/>
                  </w:pPr>
                  <w:r>
                    <w:t xml:space="preserve">7.4</w:t>
                  </w:r>
                </w:p>
              </w:tc>
            </w:tr>
          </w:tbl>
          <w:bookmarkEnd w:id="9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tbl-ht-year-10-compare"/>
          <w:p>
            <w:pPr>
              <w:jc w:val="center"/>
            </w:pPr>
            <w:pPr>
              <w:jc w:val="left"/>
              <w:spacing w:before="200"/>
              <w:pStyle w:val="ImageCaption"/>
            </w:pPr>
            <w:r>
              <w:t xml:space="preserve">Table 3.8: Pairwise comparisons of treatments within species for height (m) of measured redwood and tanoak sprouts 10 years after harvest. The P-values are based on the normal approximation.</w:t>
            </w:r>
          </w:p>
          <w:tbl>
            <w:tblPr>
              <w:tblStyle w:val="Table"/>
              <w:tblW w:type="pct" w:w="3611"/>
              <w:tblLayout w:type="fixed"/>
              <w:tblLook w:firstRow="1" w:lastRow="0" w:firstColumn="0" w:lastColumn="0" w:noHBand="0" w:noVBand="0" w:val="0020"/>
            </w:tblPr>
            <w:tblGrid>
              <w:gridCol w:w="770"/>
              <w:gridCol w:w="1210"/>
              <w:gridCol w:w="121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LIDE</w:t>
                  </w:r>
                </w:p>
              </w:tc>
              <w:tc>
                <w:tcPr/>
                <w:p>
                  <w:pPr>
                    <w:pStyle w:val="Compact"/>
                    <w:jc w:val="center"/>
                  </w:pPr>
                  <w:r>
                    <w:t xml:space="preserve">GS - LD</w:t>
                  </w:r>
                </w:p>
              </w:tc>
              <w:tc>
                <w:tcPr/>
                <w:p>
                  <w:pPr>
                    <w:pStyle w:val="Compact"/>
                    <w:jc w:val="center"/>
                  </w:pPr>
                  <w:r>
                    <w:t xml:space="preserve">1.3</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LIDE</w:t>
                  </w:r>
                </w:p>
              </w:tc>
              <w:tc>
                <w:tcPr/>
                <w:p>
                  <w:pPr>
                    <w:pStyle w:val="Compact"/>
                    <w:jc w:val="center"/>
                  </w:pPr>
                  <w:r>
                    <w:t xml:space="preserve">GS - HA</w:t>
                  </w:r>
                </w:p>
              </w:tc>
              <w:tc>
                <w:tcPr/>
                <w:p>
                  <w:pPr>
                    <w:pStyle w:val="Compact"/>
                    <w:jc w:val="center"/>
                  </w:pPr>
                  <w:r>
                    <w:t xml:space="preserve">1.93</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GS - HD</w:t>
                  </w:r>
                </w:p>
              </w:tc>
              <w:tc>
                <w:tcPr/>
                <w:p>
                  <w:pPr>
                    <w:pStyle w:val="Compact"/>
                    <w:jc w:val="center"/>
                  </w:pPr>
                  <w:r>
                    <w:t xml:space="preserve">2.12</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LD - HA</w:t>
                  </w:r>
                </w:p>
              </w:tc>
              <w:tc>
                <w:tcPr/>
                <w:p>
                  <w:pPr>
                    <w:pStyle w:val="Compact"/>
                    <w:jc w:val="center"/>
                  </w:pPr>
                  <w:r>
                    <w:t xml:space="preserve">0.63</w:t>
                  </w:r>
                </w:p>
              </w:tc>
              <w:tc>
                <w:tcPr/>
                <w:p>
                  <w:pPr>
                    <w:pStyle w:val="Compact"/>
                    <w:jc w:val="center"/>
                  </w:pPr>
                  <w:r>
                    <w:t xml:space="preserve">0.4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LIDE</w:t>
                  </w:r>
                </w:p>
              </w:tc>
              <w:tc>
                <w:tcPr/>
                <w:p>
                  <w:pPr>
                    <w:pStyle w:val="Compact"/>
                    <w:jc w:val="center"/>
                  </w:pPr>
                  <w:r>
                    <w:t xml:space="preserve">LD - HD</w:t>
                  </w:r>
                </w:p>
              </w:tc>
              <w:tc>
                <w:tcPr/>
                <w:p>
                  <w:pPr>
                    <w:pStyle w:val="Compact"/>
                    <w:jc w:val="center"/>
                  </w:pPr>
                  <w:r>
                    <w:t xml:space="preserve">0.82</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LIDE</w:t>
                  </w:r>
                </w:p>
              </w:tc>
              <w:tc>
                <w:tcPr/>
                <w:p>
                  <w:pPr>
                    <w:pStyle w:val="Compact"/>
                    <w:jc w:val="center"/>
                  </w:pPr>
                  <w:r>
                    <w:t xml:space="preserve">HA - HD</w:t>
                  </w:r>
                </w:p>
              </w:tc>
              <w:tc>
                <w:tcPr/>
                <w:p>
                  <w:pPr>
                    <w:pStyle w:val="Compact"/>
                    <w:jc w:val="center"/>
                  </w:pPr>
                  <w:r>
                    <w:t xml:space="preserve">0.19</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0.95</w:t>
                  </w:r>
                </w:p>
              </w:tc>
            </w:tr>
            <w:tr>
              <w:tc>
                <w:tcPr/>
                <w:p>
                  <w:pPr>
                    <w:pStyle w:val="Compact"/>
                    <w:jc w:val="center"/>
                  </w:pPr>
                  <w:r>
                    <w:t xml:space="preserve">SESE</w:t>
                  </w:r>
                </w:p>
              </w:tc>
              <w:tc>
                <w:tcPr/>
                <w:p>
                  <w:pPr>
                    <w:pStyle w:val="Compact"/>
                    <w:jc w:val="center"/>
                  </w:pPr>
                  <w:r>
                    <w:t xml:space="preserve">GS - LD</w:t>
                  </w:r>
                </w:p>
              </w:tc>
              <w:tc>
                <w:tcPr/>
                <w:p>
                  <w:pPr>
                    <w:pStyle w:val="Compact"/>
                    <w:jc w:val="center"/>
                  </w:pPr>
                  <w:r>
                    <w:t xml:space="preserve">2.66</w:t>
                  </w:r>
                </w:p>
              </w:tc>
              <w:tc>
                <w:tcPr/>
                <w:p>
                  <w:pPr>
                    <w:pStyle w:val="Compact"/>
                    <w:jc w:val="center"/>
                  </w:pPr>
                  <w:r>
                    <w:t xml:space="preserve">1.03</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SESE</w:t>
                  </w:r>
                </w:p>
              </w:tc>
              <w:tc>
                <w:tcPr/>
                <w:p>
                  <w:pPr>
                    <w:pStyle w:val="Compact"/>
                    <w:jc w:val="center"/>
                  </w:pPr>
                  <w:r>
                    <w:t xml:space="preserve">GS - HA</w:t>
                  </w:r>
                </w:p>
              </w:tc>
              <w:tc>
                <w:tcPr/>
                <w:p>
                  <w:pPr>
                    <w:pStyle w:val="Compact"/>
                    <w:jc w:val="center"/>
                  </w:pPr>
                  <w:r>
                    <w:t xml:space="preserve">3.94</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GS - HD</w:t>
                  </w:r>
                </w:p>
              </w:tc>
              <w:tc>
                <w:tcPr/>
                <w:p>
                  <w:pPr>
                    <w:pStyle w:val="Compact"/>
                    <w:jc w:val="center"/>
                  </w:pPr>
                  <w:r>
                    <w:t xml:space="preserve">4.33</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LD - HA</w:t>
                  </w:r>
                </w:p>
              </w:tc>
              <w:tc>
                <w:tcPr/>
                <w:p>
                  <w:pPr>
                    <w:pStyle w:val="Compact"/>
                    <w:jc w:val="center"/>
                  </w:pPr>
                  <w:r>
                    <w:t xml:space="preserve">1.29</w:t>
                  </w:r>
                </w:p>
              </w:tc>
              <w:tc>
                <w:tcPr/>
                <w:p>
                  <w:pPr>
                    <w:pStyle w:val="Compact"/>
                    <w:jc w:val="center"/>
                  </w:pPr>
                  <w:r>
                    <w:t xml:space="preserve">0.82</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SESE</w:t>
                  </w:r>
                </w:p>
              </w:tc>
              <w:tc>
                <w:tcPr/>
                <w:p>
                  <w:pPr>
                    <w:pStyle w:val="Compact"/>
                    <w:jc w:val="center"/>
                  </w:pPr>
                  <w:r>
                    <w:t xml:space="preserve">LD - HD</w:t>
                  </w:r>
                </w:p>
              </w:tc>
              <w:tc>
                <w:tcPr/>
                <w:p>
                  <w:pPr>
                    <w:pStyle w:val="Compact"/>
                    <w:jc w:val="center"/>
                  </w:pPr>
                  <w:r>
                    <w:t xml:space="preserve">1.68</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SESE</w:t>
                  </w:r>
                </w:p>
              </w:tc>
              <w:tc>
                <w:tcPr/>
                <w:p>
                  <w:pPr>
                    <w:pStyle w:val="Compact"/>
                    <w:jc w:val="center"/>
                  </w:pPr>
                  <w:r>
                    <w:t xml:space="preserve">HA - HD</w:t>
                  </w:r>
                </w:p>
              </w:tc>
              <w:tc>
                <w:tcPr/>
                <w:p>
                  <w:pPr>
                    <w:pStyle w:val="Compact"/>
                    <w:jc w:val="center"/>
                  </w:pPr>
                  <w:r>
                    <w:t xml:space="preserve">0.39</w:t>
                  </w:r>
                </w:p>
              </w:tc>
              <w:tc>
                <w:tcPr/>
                <w:p>
                  <w:pPr>
                    <w:pStyle w:val="Compact"/>
                    <w:jc w:val="center"/>
                  </w:pPr>
                  <w:r>
                    <w:t xml:space="preserve">0.75</w:t>
                  </w:r>
                </w:p>
              </w:tc>
              <w:tc>
                <w:tcPr/>
                <w:p>
                  <w:pPr>
                    <w:pStyle w:val="Compact"/>
                    <w:jc w:val="center"/>
                  </w:pPr>
                  <w:r>
                    <w:t xml:space="preserve">Inf</w:t>
                  </w:r>
                </w:p>
              </w:tc>
              <w:tc>
                <w:tcPr/>
                <w:p>
                  <w:pPr>
                    <w:pStyle w:val="Compact"/>
                    <w:jc w:val="center"/>
                  </w:pPr>
                  <w:r>
                    <w:t xml:space="preserve">0.95</w:t>
                  </w:r>
                </w:p>
              </w:tc>
            </w:tr>
          </w:tbl>
          <w:bookmarkEnd w:id="92"/>
          <w:p/>
        </w:tc>
      </w:tr>
    </w:tbl>
    <w:bookmarkEnd w:id="93"/>
    <w:bookmarkEnd w:id="94"/>
    <w:bookmarkStart w:id="118" w:name="fuels-2"/>
    <w:p>
      <w:pPr>
        <w:pStyle w:val="Heading2"/>
      </w:pPr>
      <w:r>
        <w:t xml:space="preserve">3.3 Fuels</w:t>
      </w:r>
    </w:p>
    <w:bookmarkStart w:id="103"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zeros,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tbl-fuel-pre-pct-mod"/>
          <w:p>
            <w:pPr>
              <w:jc w:val="center"/>
            </w:pPr>
            <w:pPr>
              <w:jc w:val="left"/>
              <w:spacing w:before="200"/>
              <w:pStyle w:val="ImageCaption"/>
            </w:pPr>
            <w:r>
              <w:t xml:space="preserve">Table 3.9: Model specifications for six fuel classes before pct.</w:t>
            </w:r>
          </w:p>
          <w:tbl>
            <w:tblPr>
              <w:tblStyle w:val="Table"/>
              <w:tblW w:type="pct" w:w="4843"/>
              <w:tblLayout w:type="fixed"/>
              <w:tblLook w:firstRow="1" w:lastRow="0" w:firstColumn="0" w:lastColumn="0" w:noHBand="0" w:noVBand="0" w:val="0020"/>
            </w:tblPr>
            <w:tblGrid>
              <w:gridCol w:w="997"/>
              <w:gridCol w:w="561"/>
              <w:gridCol w:w="436"/>
              <w:gridCol w:w="3429"/>
              <w:gridCol w:w="1184"/>
              <w:gridCol w:w="1060"/>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Duff &amp; Litter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w:t>
                  </w:r>
                </w:p>
              </w:tc>
              <w:tc>
                <w:tcPr/>
                <w:p>
                  <w:pPr>
                    <w:pStyle w:val="Compact"/>
                    <w:jc w:val="center"/>
                  </w:pPr>
                  <w:r>
                    <w:t xml:space="preserve">~trt</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95"/>
          <w:p/>
        </w:tc>
      </w:tr>
    </w:tbl>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14.39 Mg</w:t>
      </w:r>
      <w:r>
        <w:t xml:space="preserve"> </w:t>
      </w:r>
      <w:r>
        <w:t xml:space="preserve">ha</w:t>
      </w:r>
      <w:r>
        <w:rPr>
          <w:vertAlign w:val="superscript"/>
        </w:rPr>
        <w:t xml:space="preserve">-1</w:t>
      </w:r>
      <w:r>
        <w:t xml:space="preserve"> </w:t>
      </w:r>
      <w:r>
        <w:t xml:space="preserve">greater than the HA treatment (p =</w:t>
      </w:r>
      <w:r>
        <w:t xml:space="preserve"> </w:t>
      </w:r>
      <w:r>
        <w:t xml:space="preserve">0.09). Generally, all treatments</w:t>
      </w:r>
      <w:r>
        <w:t xml:space="preserve"> </w:t>
      </w:r>
      <w:r>
        <w:t xml:space="preserve">were similar, with estimated loading of around</w:t>
      </w:r>
      <w:r>
        <w:t xml:space="preserve"> </w:t>
      </w:r>
      <w:r>
        <w:t xml:space="preserve">47</w:t>
      </w:r>
      <w:r>
        <w:t xml:space="preserve"> </w:t>
      </w:r>
      <w:r>
        <w:t xml:space="preserve">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t xml:space="preserve">Mg ha</w:t>
      </w:r>
      <w:r>
        <w:rPr>
          <w:vertAlign w:val="superscript"/>
        </w:rPr>
        <w:t xml:space="preserve">-1</w:t>
      </w:r>
      <w:r>
        <w:t xml:space="preserve"> </w:t>
      </w:r>
      <w:r>
        <w:t xml:space="preserve">greater than in the</w:t>
      </w:r>
      <w:r>
        <w:t xml:space="preserve"> </w:t>
      </w:r>
      <w:r>
        <w:t xml:space="preserve">GS treatment (p = 0.03). One-hour</w:t>
      </w:r>
      <w:r>
        <w:t xml:space="preserve"> </w:t>
      </w:r>
      <w:r>
        <w:t xml:space="preserve">fuels in the LD and HD treatments were intermediate but the LD was more similar</w:t>
      </w:r>
      <w:r>
        <w:t xml:space="preserve"> </w:t>
      </w:r>
      <w:r>
        <w:t xml:space="preserve">to the GS and the HD was more similar to the HA treatment.</w:t>
      </w:r>
    </w:p>
    <w:p>
      <w:pPr>
        <w:pStyle w:val="BodyText"/>
      </w:pPr>
      <w:r>
        <w:t xml:space="preserve">Ten, hundred and thousand-hour fuels were statistically,</w:t>
      </w:r>
      <w:r>
        <w:t xml:space="preserve"> </w:t>
      </w:r>
      <w:r>
        <w:t xml:space="preserve">very similar across treatments (p ≥ 0.7).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9" w:name="fig-fuel-pre-pct"/>
          <w:p>
            <w:pPr>
              <w:pStyle w:val="Compact"/>
              <w:jc w:val="center"/>
            </w:pPr>
            <w:r>
              <w:drawing>
                <wp:inline>
                  <wp:extent cx="5334000" cy="2667000"/>
                  <wp:effectExtent b="0" l="0" r="0" t="0"/>
                  <wp:docPr descr="" title="" id="97" name="Picture"/>
                  <a:graphic>
                    <a:graphicData uri="http://schemas.openxmlformats.org/drawingml/2006/picture">
                      <pic:pic>
                        <pic:nvPicPr>
                          <pic:cNvPr descr="thesis/results_files/figure-docx/fig-fuel-pre-pc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9"/>
        </w:tc>
      </w:tr>
    </w:tbl>
    <w:tbl>
      <w:tblPr>
        <w:tblStyle w:val="Table"/>
        <w:tblW w:type="pct" w:w="5000"/>
        <w:tblLayout w:type="fixed"/>
        <w:tblLook w:firstRow="0" w:lastRow="0" w:firstColumn="0" w:lastColumn="0" w:noHBand="0" w:noVBand="0" w:val="0000"/>
      </w:tblPr>
      <w:tblGrid>
        <w:gridCol w:w="7920"/>
      </w:tblGrid>
      <w:tr>
        <w:tc>
          <w:tcPr/>
          <w:bookmarkStart w:id="100" w:name="tbl-fuel-pre-pct-means"/>
          <w:p>
            <w:pPr>
              <w:jc w:val="center"/>
            </w:pPr>
            <w:pPr>
              <w:jc w:val="left"/>
              <w:spacing w:before="200"/>
              <w:pStyle w:val="ImageCaption"/>
            </w:pPr>
            <w:r>
              <w:t xml:space="preserve">Table 3.10: Estimated marginal means (Mg ha</w:t>
            </w:r>
            <w:r>
              <w:rPr>
                <w:vertAlign w:val="superscript"/>
              </w:rPr>
              <w:t xml:space="preserve">-1</w:t>
            </w:r>
            <w:r>
              <w:t xml:space="preserve">) for six fuel classes and four overstory treatments 10 years after partial harvest and prior to pre-commercial thinning (PCT). The asymptotic 95% confidence intervals are based on the normal approximation.</w:t>
            </w:r>
          </w:p>
          <w:tbl>
            <w:tblPr>
              <w:tblStyle w:val="Table"/>
              <w:tblW w:type="pct" w:w="4684"/>
              <w:tblLayout w:type="fixed"/>
              <w:tblLook w:firstRow="1" w:lastRow="0" w:firstColumn="0" w:lastColumn="0" w:noHBand="0" w:noVBand="0" w:val="0020"/>
            </w:tblPr>
            <w:tblGrid>
              <w:gridCol w:w="1303"/>
              <w:gridCol w:w="1203"/>
              <w:gridCol w:w="1102"/>
              <w:gridCol w:w="802"/>
              <w:gridCol w:w="601"/>
              <w:gridCol w:w="1203"/>
              <w:gridCol w:w="1203"/>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gs</w:t>
                  </w:r>
                </w:p>
              </w:tc>
              <w:tc>
                <w:tcPr/>
                <w:p>
                  <w:pPr>
                    <w:pStyle w:val="Compact"/>
                    <w:jc w:val="center"/>
                  </w:pPr>
                  <w:r>
                    <w:t xml:space="preserve">47.93</w:t>
                  </w:r>
                </w:p>
              </w:tc>
              <w:tc>
                <w:tcPr/>
                <w:p>
                  <w:pPr>
                    <w:pStyle w:val="Compact"/>
                    <w:jc w:val="center"/>
                  </w:pPr>
                  <w:r>
                    <w:t xml:space="preserve">5.69</w:t>
                  </w:r>
                </w:p>
              </w:tc>
              <w:tc>
                <w:tcPr/>
                <w:p>
                  <w:pPr>
                    <w:pStyle w:val="Compact"/>
                    <w:jc w:val="center"/>
                  </w:pPr>
                  <w:r>
                    <w:t xml:space="preserve">Inf</w:t>
                  </w:r>
                </w:p>
              </w:tc>
              <w:tc>
                <w:tcPr/>
                <w:p>
                  <w:pPr>
                    <w:pStyle w:val="Compact"/>
                    <w:jc w:val="center"/>
                  </w:pPr>
                  <w:r>
                    <w:t xml:space="preserve">36.76</w:t>
                  </w:r>
                </w:p>
              </w:tc>
              <w:tc>
                <w:tcPr/>
                <w:p>
                  <w:pPr>
                    <w:pStyle w:val="Compact"/>
                    <w:jc w:val="center"/>
                  </w:pPr>
                  <w:r>
                    <w:t xml:space="preserve">59.09</w:t>
                  </w:r>
                </w:p>
              </w:tc>
            </w:tr>
            <w:tr>
              <w:tc>
                <w:tcPr/>
                <w:p>
                  <w:pPr>
                    <w:pStyle w:val="Compact"/>
                    <w:jc w:val="center"/>
                  </w:pPr>
                  <w:r>
                    <w:t xml:space="preserve">dufflitter</w:t>
                  </w:r>
                </w:p>
              </w:tc>
              <w:tc>
                <w:tcPr/>
                <w:p>
                  <w:pPr>
                    <w:pStyle w:val="Compact"/>
                    <w:jc w:val="center"/>
                  </w:pPr>
                  <w:r>
                    <w:t xml:space="preserve">ld</w:t>
                  </w:r>
                </w:p>
              </w:tc>
              <w:tc>
                <w:tcPr/>
                <w:p>
                  <w:pPr>
                    <w:pStyle w:val="Compact"/>
                    <w:jc w:val="center"/>
                  </w:pPr>
                  <w:r>
                    <w:t xml:space="preserve">45.09</w:t>
                  </w:r>
                </w:p>
              </w:tc>
              <w:tc>
                <w:tcPr/>
                <w:p>
                  <w:pPr>
                    <w:pStyle w:val="Compact"/>
                    <w:jc w:val="center"/>
                  </w:pPr>
                  <w:r>
                    <w:t xml:space="preserve">5.35</w:t>
                  </w:r>
                </w:p>
              </w:tc>
              <w:tc>
                <w:tcPr/>
                <w:p>
                  <w:pPr>
                    <w:pStyle w:val="Compact"/>
                    <w:jc w:val="center"/>
                  </w:pPr>
                  <w:r>
                    <w:t xml:space="preserve">Inf</w:t>
                  </w:r>
                </w:p>
              </w:tc>
              <w:tc>
                <w:tcPr/>
                <w:p>
                  <w:pPr>
                    <w:pStyle w:val="Compact"/>
                    <w:jc w:val="center"/>
                  </w:pPr>
                  <w:r>
                    <w:t xml:space="preserve">34.6</w:t>
                  </w:r>
                </w:p>
              </w:tc>
              <w:tc>
                <w:tcPr/>
                <w:p>
                  <w:pPr>
                    <w:pStyle w:val="Compact"/>
                    <w:jc w:val="center"/>
                  </w:pPr>
                  <w:r>
                    <w:t xml:space="preserve">55.59</w:t>
                  </w:r>
                </w:p>
              </w:tc>
            </w:tr>
            <w:tr>
              <w:tc>
                <w:tcPr/>
                <w:p>
                  <w:pPr>
                    <w:pStyle w:val="Compact"/>
                    <w:jc w:val="center"/>
                  </w:pPr>
                  <w:r>
                    <w:t xml:space="preserve">dufflitter</w:t>
                  </w:r>
                </w:p>
              </w:tc>
              <w:tc>
                <w:tcPr/>
                <w:p>
                  <w:pPr>
                    <w:pStyle w:val="Compact"/>
                    <w:jc w:val="center"/>
                  </w:pPr>
                  <w:r>
                    <w:t xml:space="preserve">ha</w:t>
                  </w:r>
                </w:p>
              </w:tc>
              <w:tc>
                <w:tcPr/>
                <w:p>
                  <w:pPr>
                    <w:pStyle w:val="Compact"/>
                    <w:jc w:val="center"/>
                  </w:pPr>
                  <w:r>
                    <w:t xml:space="preserve">40.01</w:t>
                  </w:r>
                </w:p>
              </w:tc>
              <w:tc>
                <w:tcPr/>
                <w:p>
                  <w:pPr>
                    <w:pStyle w:val="Compact"/>
                    <w:jc w:val="center"/>
                  </w:pPr>
                  <w:r>
                    <w:t xml:space="preserve">4.75</w:t>
                  </w:r>
                </w:p>
              </w:tc>
              <w:tc>
                <w:tcPr/>
                <w:p>
                  <w:pPr>
                    <w:pStyle w:val="Compact"/>
                    <w:jc w:val="center"/>
                  </w:pPr>
                  <w:r>
                    <w:t xml:space="preserve">Inf</w:t>
                  </w:r>
                </w:p>
              </w:tc>
              <w:tc>
                <w:tcPr/>
                <w:p>
                  <w:pPr>
                    <w:pStyle w:val="Compact"/>
                    <w:jc w:val="center"/>
                  </w:pPr>
                  <w:r>
                    <w:t xml:space="preserve">30.71</w:t>
                  </w:r>
                </w:p>
              </w:tc>
              <w:tc>
                <w:tcPr/>
                <w:p>
                  <w:pPr>
                    <w:pStyle w:val="Compact"/>
                    <w:jc w:val="center"/>
                  </w:pPr>
                  <w:r>
                    <w:t xml:space="preserve">49.32</w:t>
                  </w:r>
                </w:p>
              </w:tc>
            </w:tr>
            <w:tr>
              <w:tc>
                <w:tcPr/>
                <w:p>
                  <w:pPr>
                    <w:pStyle w:val="Compact"/>
                    <w:jc w:val="center"/>
                  </w:pPr>
                  <w:r>
                    <w:t xml:space="preserve">dufflitter</w:t>
                  </w:r>
                </w:p>
              </w:tc>
              <w:tc>
                <w:tcPr/>
                <w:p>
                  <w:pPr>
                    <w:pStyle w:val="Compact"/>
                    <w:jc w:val="center"/>
                  </w:pPr>
                  <w:r>
                    <w:t xml:space="preserve">hd</w:t>
                  </w:r>
                </w:p>
              </w:tc>
              <w:tc>
                <w:tcPr/>
                <w:p>
                  <w:pPr>
                    <w:pStyle w:val="Compact"/>
                    <w:jc w:val="center"/>
                  </w:pPr>
                  <w:r>
                    <w:t xml:space="preserve">54.4</w:t>
                  </w:r>
                </w:p>
              </w:tc>
              <w:tc>
                <w:tcPr/>
                <w:p>
                  <w:pPr>
                    <w:pStyle w:val="Compact"/>
                    <w:jc w:val="center"/>
                  </w:pPr>
                  <w:r>
                    <w:t xml:space="preserve">6.46</w:t>
                  </w:r>
                </w:p>
              </w:tc>
              <w:tc>
                <w:tcPr/>
                <w:p>
                  <w:pPr>
                    <w:pStyle w:val="Compact"/>
                    <w:jc w:val="center"/>
                  </w:pPr>
                  <w:r>
                    <w:t xml:space="preserve">Inf</w:t>
                  </w:r>
                </w:p>
              </w:tc>
              <w:tc>
                <w:tcPr/>
                <w:p>
                  <w:pPr>
                    <w:pStyle w:val="Compact"/>
                    <w:jc w:val="center"/>
                  </w:pPr>
                  <w:r>
                    <w:t xml:space="preserve">41.74</w:t>
                  </w:r>
                </w:p>
              </w:tc>
              <w:tc>
                <w:tcPr/>
                <w:p>
                  <w:pPr>
                    <w:pStyle w:val="Compact"/>
                    <w:jc w:val="center"/>
                  </w:pPr>
                  <w:r>
                    <w:t xml:space="preserve">67.06</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0.55</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0.33</w:t>
                  </w:r>
                </w:p>
              </w:tc>
              <w:tc>
                <w:tcPr/>
                <w:p>
                  <w:pPr>
                    <w:pStyle w:val="Compact"/>
                    <w:jc w:val="center"/>
                  </w:pPr>
                  <w:r>
                    <w:t xml:space="preserve">0.77</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0.66</w:t>
                  </w:r>
                </w:p>
              </w:tc>
              <w:tc>
                <w:tcPr/>
                <w:p>
                  <w:pPr>
                    <w:pStyle w:val="Compact"/>
                    <w:jc w:val="center"/>
                  </w:pPr>
                  <w:r>
                    <w:t xml:space="preserve">0.13</w:t>
                  </w:r>
                </w:p>
              </w:tc>
              <w:tc>
                <w:tcPr/>
                <w:p>
                  <w:pPr>
                    <w:pStyle w:val="Compact"/>
                    <w:jc w:val="center"/>
                  </w:pPr>
                  <w:r>
                    <w:t xml:space="preserve">Inf</w:t>
                  </w:r>
                </w:p>
              </w:tc>
              <w:tc>
                <w:tcPr/>
                <w:p>
                  <w:pPr>
                    <w:pStyle w:val="Compact"/>
                    <w:jc w:val="center"/>
                  </w:pPr>
                  <w:r>
                    <w:t xml:space="preserve">0.4</w:t>
                  </w:r>
                </w:p>
              </w:tc>
              <w:tc>
                <w:tcPr/>
                <w:p>
                  <w:pPr>
                    <w:pStyle w:val="Compact"/>
                    <w:jc w:val="center"/>
                  </w:pPr>
                  <w:r>
                    <w:t xml:space="preserve">0.92</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1.2</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0.73</w:t>
                  </w:r>
                </w:p>
              </w:tc>
              <w:tc>
                <w:tcPr/>
                <w:p>
                  <w:pPr>
                    <w:pStyle w:val="Compact"/>
                    <w:jc w:val="center"/>
                  </w:pPr>
                  <w:r>
                    <w:t xml:space="preserve">1.68</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1.01</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0.61</w:t>
                  </w:r>
                </w:p>
              </w:tc>
              <w:tc>
                <w:tcPr/>
                <w:p>
                  <w:pPr>
                    <w:pStyle w:val="Compact"/>
                    <w:jc w:val="center"/>
                  </w:pPr>
                  <w:r>
                    <w:t xml:space="preserve">1.41</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3.71</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2.43</w:t>
                  </w:r>
                </w:p>
              </w:tc>
              <w:tc>
                <w:tcPr/>
                <w:p>
                  <w:pPr>
                    <w:pStyle w:val="Compact"/>
                    <w:jc w:val="center"/>
                  </w:pPr>
                  <w:r>
                    <w:t xml:space="preserve">4.98</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3.31</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2.3</w:t>
                  </w:r>
                </w:p>
              </w:tc>
              <w:tc>
                <w:tcPr/>
                <w:p>
                  <w:pPr>
                    <w:pStyle w:val="Compact"/>
                    <w:jc w:val="center"/>
                  </w:pPr>
                  <w:r>
                    <w:t xml:space="preserve">4.32</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2.9</w:t>
                  </w:r>
                </w:p>
              </w:tc>
              <w:tc>
                <w:tcPr/>
                <w:p>
                  <w:pPr>
                    <w:pStyle w:val="Compact"/>
                    <w:jc w:val="center"/>
                  </w:pPr>
                  <w:r>
                    <w:t xml:space="preserve">0.63</w:t>
                  </w:r>
                </w:p>
              </w:tc>
              <w:tc>
                <w:tcPr/>
                <w:p>
                  <w:pPr>
                    <w:pStyle w:val="Compact"/>
                    <w:jc w:val="center"/>
                  </w:pPr>
                  <w:r>
                    <w:t xml:space="preserve">Inf</w:t>
                  </w:r>
                </w:p>
              </w:tc>
              <w:tc>
                <w:tcPr/>
                <w:p>
                  <w:pPr>
                    <w:pStyle w:val="Compact"/>
                    <w:jc w:val="center"/>
                  </w:pPr>
                  <w:r>
                    <w:t xml:space="preserve">1.68</w:t>
                  </w:r>
                </w:p>
              </w:tc>
              <w:tc>
                <w:tcPr/>
                <w:p>
                  <w:pPr>
                    <w:pStyle w:val="Compact"/>
                    <w:jc w:val="center"/>
                  </w:pPr>
                  <w:r>
                    <w:t xml:space="preserve">4.13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2.91</w:t>
                  </w:r>
                </w:p>
              </w:tc>
              <w:tc>
                <w:tcPr/>
                <w:p>
                  <w:pPr>
                    <w:pStyle w:val="Compact"/>
                    <w:jc w:val="center"/>
                  </w:pPr>
                  <w:r>
                    <w:t xml:space="preserve">0.45</w:t>
                  </w:r>
                </w:p>
              </w:tc>
              <w:tc>
                <w:tcPr/>
                <w:p>
                  <w:pPr>
                    <w:pStyle w:val="Compact"/>
                    <w:jc w:val="center"/>
                  </w:pPr>
                  <w:r>
                    <w:t xml:space="preserve">Inf</w:t>
                  </w:r>
                </w:p>
              </w:tc>
              <w:tc>
                <w:tcPr/>
                <w:p>
                  <w:pPr>
                    <w:pStyle w:val="Compact"/>
                    <w:jc w:val="center"/>
                  </w:pPr>
                  <w:r>
                    <w:t xml:space="preserve">2.04</w:t>
                  </w:r>
                </w:p>
              </w:tc>
              <w:tc>
                <w:tcPr/>
                <w:p>
                  <w:pPr>
                    <w:pStyle w:val="Compact"/>
                    <w:jc w:val="center"/>
                  </w:pPr>
                  <w:r>
                    <w:t xml:space="preserve">3.79</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11.17</w:t>
                  </w:r>
                </w:p>
              </w:tc>
              <w:tc>
                <w:tcPr/>
                <w:p>
                  <w:pPr>
                    <w:pStyle w:val="Compact"/>
                    <w:jc w:val="center"/>
                  </w:pPr>
                  <w:r>
                    <w:t xml:space="preserve">1.92</w:t>
                  </w:r>
                </w:p>
              </w:tc>
              <w:tc>
                <w:tcPr/>
                <w:p>
                  <w:pPr>
                    <w:pStyle w:val="Compact"/>
                    <w:jc w:val="center"/>
                  </w:pPr>
                  <w:r>
                    <w:t xml:space="preserve">Inf</w:t>
                  </w:r>
                </w:p>
              </w:tc>
              <w:tc>
                <w:tcPr/>
                <w:p>
                  <w:pPr>
                    <w:pStyle w:val="Compact"/>
                    <w:jc w:val="center"/>
                  </w:pPr>
                  <w:r>
                    <w:t xml:space="preserve">7.41</w:t>
                  </w:r>
                </w:p>
              </w:tc>
              <w:tc>
                <w:tcPr/>
                <w:p>
                  <w:pPr>
                    <w:pStyle w:val="Compact"/>
                    <w:jc w:val="center"/>
                  </w:pPr>
                  <w:r>
                    <w:t xml:space="preserve">14.93</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10.03</w:t>
                  </w:r>
                </w:p>
              </w:tc>
              <w:tc>
                <w:tcPr/>
                <w:p>
                  <w:pPr>
                    <w:pStyle w:val="Compact"/>
                    <w:jc w:val="center"/>
                  </w:pPr>
                  <w:r>
                    <w:t xml:space="preserve">1.76</w:t>
                  </w:r>
                </w:p>
              </w:tc>
              <w:tc>
                <w:tcPr/>
                <w:p>
                  <w:pPr>
                    <w:pStyle w:val="Compact"/>
                    <w:jc w:val="center"/>
                  </w:pPr>
                  <w:r>
                    <w:t xml:space="preserve">Inf</w:t>
                  </w:r>
                </w:p>
              </w:tc>
              <w:tc>
                <w:tcPr/>
                <w:p>
                  <w:pPr>
                    <w:pStyle w:val="Compact"/>
                    <w:jc w:val="center"/>
                  </w:pPr>
                  <w:r>
                    <w:t xml:space="preserve">6.58</w:t>
                  </w:r>
                </w:p>
              </w:tc>
              <w:tc>
                <w:tcPr/>
                <w:p>
                  <w:pPr>
                    <w:pStyle w:val="Compact"/>
                    <w:jc w:val="center"/>
                  </w:pPr>
                  <w:r>
                    <w:t xml:space="preserve">13.47</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8.9</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5.92</w:t>
                  </w:r>
                </w:p>
              </w:tc>
              <w:tc>
                <w:tcPr/>
                <w:p>
                  <w:pPr>
                    <w:pStyle w:val="Compact"/>
                    <w:jc w:val="center"/>
                  </w:pPr>
                  <w:r>
                    <w:t xml:space="preserve">11.88</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8.76</w:t>
                  </w:r>
                </w:p>
              </w:tc>
              <w:tc>
                <w:tcPr/>
                <w:p>
                  <w:pPr>
                    <w:pStyle w:val="Compact"/>
                    <w:jc w:val="center"/>
                  </w:pPr>
                  <w:r>
                    <w:t xml:space="preserve">1.49</w:t>
                  </w:r>
                </w:p>
              </w:tc>
              <w:tc>
                <w:tcPr/>
                <w:p>
                  <w:pPr>
                    <w:pStyle w:val="Compact"/>
                    <w:jc w:val="center"/>
                  </w:pPr>
                  <w:r>
                    <w:t xml:space="preserve">Inf</w:t>
                  </w:r>
                </w:p>
              </w:tc>
              <w:tc>
                <w:tcPr/>
                <w:p>
                  <w:pPr>
                    <w:pStyle w:val="Compact"/>
                    <w:jc w:val="center"/>
                  </w:pPr>
                  <w:r>
                    <w:t xml:space="preserve">5.84</w:t>
                  </w:r>
                </w:p>
              </w:tc>
              <w:tc>
                <w:tcPr/>
                <w:p>
                  <w:pPr>
                    <w:pStyle w:val="Compact"/>
                    <w:jc w:val="center"/>
                  </w:pPr>
                  <w:r>
                    <w:t xml:space="preserve">11.69</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43.08</w:t>
                  </w:r>
                </w:p>
              </w:tc>
              <w:tc>
                <w:tcPr/>
                <w:p>
                  <w:pPr>
                    <w:pStyle w:val="Compact"/>
                    <w:jc w:val="center"/>
                  </w:pPr>
                  <w:r>
                    <w:t xml:space="preserve">13.84</w:t>
                  </w:r>
                </w:p>
              </w:tc>
              <w:tc>
                <w:tcPr/>
                <w:p>
                  <w:pPr>
                    <w:pStyle w:val="Compact"/>
                    <w:jc w:val="center"/>
                  </w:pPr>
                  <w:r>
                    <w:t xml:space="preserve">Inf</w:t>
                  </w:r>
                </w:p>
              </w:tc>
              <w:tc>
                <w:tcPr/>
                <w:p>
                  <w:pPr>
                    <w:pStyle w:val="Compact"/>
                    <w:jc w:val="center"/>
                  </w:pPr>
                  <w:r>
                    <w:t xml:space="preserve">15.95</w:t>
                  </w:r>
                </w:p>
              </w:tc>
              <w:tc>
                <w:tcPr/>
                <w:p>
                  <w:pPr>
                    <w:pStyle w:val="Compact"/>
                    <w:jc w:val="center"/>
                  </w:pPr>
                  <w:r>
                    <w:t xml:space="preserve">70.22</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26.25</w:t>
                  </w:r>
                </w:p>
              </w:tc>
              <w:tc>
                <w:tcPr/>
                <w:p>
                  <w:pPr>
                    <w:pStyle w:val="Compact"/>
                    <w:jc w:val="center"/>
                  </w:pPr>
                  <w:r>
                    <w:t xml:space="preserve">8.58</w:t>
                  </w:r>
                </w:p>
              </w:tc>
              <w:tc>
                <w:tcPr/>
                <w:p>
                  <w:pPr>
                    <w:pStyle w:val="Compact"/>
                    <w:jc w:val="center"/>
                  </w:pPr>
                  <w:r>
                    <w:t xml:space="preserve">Inf</w:t>
                  </w:r>
                </w:p>
              </w:tc>
              <w:tc>
                <w:tcPr/>
                <w:p>
                  <w:pPr>
                    <w:pStyle w:val="Compact"/>
                    <w:jc w:val="center"/>
                  </w:pPr>
                  <w:r>
                    <w:t xml:space="preserve">9.43</w:t>
                  </w:r>
                </w:p>
              </w:tc>
              <w:tc>
                <w:tcPr/>
                <w:p>
                  <w:pPr>
                    <w:pStyle w:val="Compact"/>
                    <w:jc w:val="center"/>
                  </w:pPr>
                  <w:r>
                    <w:t xml:space="preserve">43.06</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28.06</w:t>
                  </w:r>
                </w:p>
              </w:tc>
              <w:tc>
                <w:tcPr/>
                <w:p>
                  <w:pPr>
                    <w:pStyle w:val="Compact"/>
                    <w:jc w:val="center"/>
                  </w:pPr>
                  <w:r>
                    <w:t xml:space="preserve">9.58</w:t>
                  </w:r>
                </w:p>
              </w:tc>
              <w:tc>
                <w:tcPr/>
                <w:p>
                  <w:pPr>
                    <w:pStyle w:val="Compact"/>
                    <w:jc w:val="center"/>
                  </w:pPr>
                  <w:r>
                    <w:t xml:space="preserve">Inf</w:t>
                  </w:r>
                </w:p>
              </w:tc>
              <w:tc>
                <w:tcPr/>
                <w:p>
                  <w:pPr>
                    <w:pStyle w:val="Compact"/>
                    <w:jc w:val="center"/>
                  </w:pPr>
                  <w:r>
                    <w:t xml:space="preserve">9.29</w:t>
                  </w:r>
                </w:p>
              </w:tc>
              <w:tc>
                <w:tcPr/>
                <w:p>
                  <w:pPr>
                    <w:pStyle w:val="Compact"/>
                    <w:jc w:val="center"/>
                  </w:pPr>
                  <w:r>
                    <w:t xml:space="preserve">46.83</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39.75</w:t>
                  </w:r>
                </w:p>
              </w:tc>
              <w:tc>
                <w:tcPr/>
                <w:p>
                  <w:pPr>
                    <w:pStyle w:val="Compact"/>
                    <w:jc w:val="center"/>
                  </w:pPr>
                  <w:r>
                    <w:t xml:space="preserve">12.94</w:t>
                  </w:r>
                </w:p>
              </w:tc>
              <w:tc>
                <w:tcPr/>
                <w:p>
                  <w:pPr>
                    <w:pStyle w:val="Compact"/>
                    <w:jc w:val="center"/>
                  </w:pPr>
                  <w:r>
                    <w:t xml:space="preserve">Inf</w:t>
                  </w:r>
                </w:p>
              </w:tc>
              <w:tc>
                <w:tcPr/>
                <w:p>
                  <w:pPr>
                    <w:pStyle w:val="Compact"/>
                    <w:jc w:val="center"/>
                  </w:pPr>
                  <w:r>
                    <w:t xml:space="preserve">14.38</w:t>
                  </w:r>
                </w:p>
              </w:tc>
              <w:tc>
                <w:tcPr/>
                <w:p>
                  <w:pPr>
                    <w:pStyle w:val="Compact"/>
                    <w:jc w:val="center"/>
                  </w:pPr>
                  <w:r>
                    <w:t xml:space="preserve">65.11</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29.94</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14.69</w:t>
                  </w:r>
                </w:p>
              </w:tc>
              <w:tc>
                <w:tcPr/>
                <w:p>
                  <w:pPr>
                    <w:pStyle w:val="Compact"/>
                    <w:jc w:val="center"/>
                  </w:pPr>
                  <w:r>
                    <w:t xml:space="preserve">45.19</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20.88</w:t>
                  </w:r>
                </w:p>
              </w:tc>
              <w:tc>
                <w:tcPr/>
                <w:p>
                  <w:pPr>
                    <w:pStyle w:val="Compact"/>
                    <w:jc w:val="center"/>
                  </w:pPr>
                  <w:r>
                    <w:t xml:space="preserve">5.32</w:t>
                  </w:r>
                </w:p>
              </w:tc>
              <w:tc>
                <w:tcPr/>
                <w:p>
                  <w:pPr>
                    <w:pStyle w:val="Compact"/>
                    <w:jc w:val="center"/>
                  </w:pPr>
                  <w:r>
                    <w:t xml:space="preserve">Inf</w:t>
                  </w:r>
                </w:p>
              </w:tc>
              <w:tc>
                <w:tcPr/>
                <w:p>
                  <w:pPr>
                    <w:pStyle w:val="Compact"/>
                    <w:jc w:val="center"/>
                  </w:pPr>
                  <w:r>
                    <w:t xml:space="preserve">10.45</w:t>
                  </w:r>
                </w:p>
              </w:tc>
              <w:tc>
                <w:tcPr/>
                <w:p>
                  <w:pPr>
                    <w:pStyle w:val="Compact"/>
                    <w:jc w:val="center"/>
                  </w:pPr>
                  <w:r>
                    <w:t xml:space="preserve">31.3</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10.99</w:t>
                  </w:r>
                </w:p>
              </w:tc>
              <w:tc>
                <w:tcPr/>
                <w:p>
                  <w:pPr>
                    <w:pStyle w:val="Compact"/>
                    <w:jc w:val="center"/>
                  </w:pPr>
                  <w:r>
                    <w:t xml:space="preserve">2.86</w:t>
                  </w:r>
                </w:p>
              </w:tc>
              <w:tc>
                <w:tcPr/>
                <w:p>
                  <w:pPr>
                    <w:pStyle w:val="Compact"/>
                    <w:jc w:val="center"/>
                  </w:pPr>
                  <w:r>
                    <w:t xml:space="preserve">Inf</w:t>
                  </w:r>
                </w:p>
              </w:tc>
              <w:tc>
                <w:tcPr/>
                <w:p>
                  <w:pPr>
                    <w:pStyle w:val="Compact"/>
                    <w:jc w:val="center"/>
                  </w:pPr>
                  <w:r>
                    <w:t xml:space="preserve">5.39</w:t>
                  </w:r>
                </w:p>
              </w:tc>
              <w:tc>
                <w:tcPr/>
                <w:p>
                  <w:pPr>
                    <w:pStyle w:val="Compact"/>
                    <w:jc w:val="center"/>
                  </w:pPr>
                  <w:r>
                    <w:t xml:space="preserve">16.6</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16.86</w:t>
                  </w:r>
                </w:p>
              </w:tc>
              <w:tc>
                <w:tcPr/>
                <w:p>
                  <w:pPr>
                    <w:pStyle w:val="Compact"/>
                    <w:jc w:val="center"/>
                  </w:pPr>
                  <w:r>
                    <w:t xml:space="preserve">4.32</w:t>
                  </w:r>
                </w:p>
              </w:tc>
              <w:tc>
                <w:tcPr/>
                <w:p>
                  <w:pPr>
                    <w:pStyle w:val="Compact"/>
                    <w:jc w:val="center"/>
                  </w:pPr>
                  <w:r>
                    <w:t xml:space="preserve">Inf</w:t>
                  </w:r>
                </w:p>
              </w:tc>
              <w:tc>
                <w:tcPr/>
                <w:p>
                  <w:pPr>
                    <w:pStyle w:val="Compact"/>
                    <w:jc w:val="center"/>
                  </w:pPr>
                  <w:r>
                    <w:t xml:space="preserve">8.4</w:t>
                  </w:r>
                </w:p>
              </w:tc>
              <w:tc>
                <w:tcPr/>
                <w:p>
                  <w:pPr>
                    <w:pStyle w:val="Compact"/>
                    <w:jc w:val="center"/>
                  </w:pPr>
                  <w:r>
                    <w:t xml:space="preserve">25.32</w:t>
                  </w:r>
                </w:p>
              </w:tc>
            </w:tr>
          </w:tbl>
          <w:bookmarkEnd w:id="10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tbl-fuel-pre-pct-compare"/>
          <w:p>
            <w:pPr>
              <w:jc w:val="center"/>
            </w:pPr>
            <w:pPr>
              <w:jc w:val="left"/>
              <w:spacing w:before="200"/>
              <w:pStyle w:val="ImageCaption"/>
            </w:pPr>
            <w:r>
              <w:t xml:space="preserve">Table 3.11: Pairwise comparisons of treatments for six fuel classes before pct. P-values were adjusted for multiple comparisons using the Tukey method and are based on normal approximations.</w:t>
            </w:r>
          </w:p>
          <w:tbl>
            <w:tblPr>
              <w:tblStyle w:val="Table"/>
              <w:tblW w:type="pct" w:w="4097"/>
              <w:tblLayout w:type="fixed"/>
              <w:tblLook w:firstRow="1" w:lastRow="0" w:firstColumn="0" w:lastColumn="0" w:noHBand="0" w:noVBand="0" w:val="0020"/>
            </w:tblPr>
            <w:tblGrid>
              <w:gridCol w:w="143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-0.6491</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0.033</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18.947</w:t>
                  </w:r>
                </w:p>
              </w:tc>
              <w:tc>
                <w:tcPr/>
                <w:p>
                  <w:pPr>
                    <w:pStyle w:val="Compact"/>
                    <w:jc w:val="center"/>
                  </w:pPr>
                  <w:r>
                    <w:t xml:space="preserve">7.46</w:t>
                  </w:r>
                </w:p>
              </w:tc>
              <w:tc>
                <w:tcPr/>
                <w:p>
                  <w:pPr>
                    <w:pStyle w:val="Compact"/>
                    <w:jc w:val="center"/>
                  </w:pPr>
                  <w:r>
                    <w:t xml:space="preserve">Inf</w:t>
                  </w:r>
                </w:p>
              </w:tc>
              <w:tc>
                <w:tcPr/>
                <w:p>
                  <w:pPr>
                    <w:pStyle w:val="Compact"/>
                    <w:jc w:val="center"/>
                  </w:pPr>
                  <w:r>
                    <w:t xml:space="preserve">0.054</w:t>
                  </w:r>
                </w:p>
              </w:tc>
            </w:tr>
            <w:tr>
              <w:tc>
                <w:tcPr/>
                <w:p>
                  <w:pPr>
                    <w:pStyle w:val="Compact"/>
                    <w:jc w:val="center"/>
                  </w:pPr>
                  <w:r>
                    <w:t xml:space="preserve">dufflitter</w:t>
                  </w:r>
                </w:p>
              </w:tc>
              <w:tc>
                <w:tcPr/>
                <w:p>
                  <w:pPr>
                    <w:pStyle w:val="Compact"/>
                    <w:jc w:val="center"/>
                  </w:pPr>
                  <w:r>
                    <w:t xml:space="preserve">ha - hd</w:t>
                  </w:r>
                </w:p>
              </w:tc>
              <w:tc>
                <w:tcPr/>
                <w:p>
                  <w:pPr>
                    <w:pStyle w:val="Compact"/>
                    <w:jc w:val="center"/>
                  </w:pPr>
                  <w:r>
                    <w:t xml:space="preserve">-14.3869</w:t>
                  </w:r>
                </w:p>
              </w:tc>
              <w:tc>
                <w:tcPr/>
                <w:p>
                  <w:pPr>
                    <w:pStyle w:val="Compact"/>
                    <w:jc w:val="center"/>
                  </w:pPr>
                  <w:r>
                    <w:t xml:space="preserve">6.16</w:t>
                  </w:r>
                </w:p>
              </w:tc>
              <w:tc>
                <w:tcPr/>
                <w:p>
                  <w:pPr>
                    <w:pStyle w:val="Compact"/>
                    <w:jc w:val="center"/>
                  </w:pPr>
                  <w:r>
                    <w:t xml:space="preserve">Inf</w:t>
                  </w:r>
                </w:p>
              </w:tc>
              <w:tc>
                <w:tcPr/>
                <w:p>
                  <w:pPr>
                    <w:pStyle w:val="Compact"/>
                    <w:jc w:val="center"/>
                  </w:pPr>
                  <w:r>
                    <w:t xml:space="preserve">0.09</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-0.5439</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0.115</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-0.4529</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0.119</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9.8847</w:t>
                  </w:r>
                </w:p>
              </w:tc>
              <w:tc>
                <w:tcPr/>
                <w:p>
                  <w:pPr>
                    <w:pStyle w:val="Compact"/>
                    <w:jc w:val="center"/>
                  </w:pPr>
                  <w:r>
                    <w:t xml:space="preserve">5.29</w:t>
                  </w:r>
                </w:p>
              </w:tc>
              <w:tc>
                <w:tcPr/>
                <w:p>
                  <w:pPr>
                    <w:pStyle w:val="Compact"/>
                    <w:jc w:val="center"/>
                  </w:pPr>
                  <w:r>
                    <w:t xml:space="preserve">Inf</w:t>
                  </w:r>
                </w:p>
              </w:tc>
              <w:tc>
                <w:tcPr/>
                <w:p>
                  <w:pPr>
                    <w:pStyle w:val="Compact"/>
                    <w:jc w:val="center"/>
                  </w:pPr>
                  <w:r>
                    <w:t xml:space="preserve">0.242</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13.0772</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0.334</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-0.3477</w:t>
                  </w:r>
                </w:p>
              </w:tc>
              <w:tc>
                <w:tcPr/>
                <w:p>
                  <w:pPr>
                    <w:pStyle w:val="Compact"/>
                    <w:jc w:val="center"/>
                  </w:pPr>
                  <w:r>
                    <w:t xml:space="preserve">0.21</w:t>
                  </w:r>
                </w:p>
              </w:tc>
              <w:tc>
                <w:tcPr/>
                <w:p>
                  <w:pPr>
                    <w:pStyle w:val="Compact"/>
                    <w:jc w:val="center"/>
                  </w:pPr>
                  <w:r>
                    <w:t xml:space="preserve">Inf</w:t>
                  </w:r>
                </w:p>
              </w:tc>
              <w:tc>
                <w:tcPr/>
                <w:p>
                  <w:pPr>
                    <w:pStyle w:val="Compact"/>
                    <w:jc w:val="center"/>
                  </w:pPr>
                  <w:r>
                    <w:t xml:space="preserve">0.353</w:t>
                  </w:r>
                </w:p>
              </w:tc>
            </w:tr>
            <w:tr>
              <w:tc>
                <w:tcPr/>
                <w:p>
                  <w:pPr>
                    <w:pStyle w:val="Compact"/>
                    <w:jc w:val="center"/>
                  </w:pPr>
                  <w:r>
                    <w:t xml:space="preserve">dufflitter</w:t>
                  </w:r>
                </w:p>
              </w:tc>
              <w:tc>
                <w:tcPr/>
                <w:p>
                  <w:pPr>
                    <w:pStyle w:val="Compact"/>
                    <w:jc w:val="center"/>
                  </w:pPr>
                  <w:r>
                    <w:t xml:space="preserve">ld - hd</w:t>
                  </w:r>
                </w:p>
              </w:tc>
              <w:tc>
                <w:tcPr/>
                <w:p>
                  <w:pPr>
                    <w:pStyle w:val="Compact"/>
                    <w:jc w:val="center"/>
                  </w:pPr>
                  <w:r>
                    <w:t xml:space="preserve">-9.3078</w:t>
                  </w:r>
                </w:p>
              </w:tc>
              <w:tc>
                <w:tcPr/>
                <w:p>
                  <w:pPr>
                    <w:pStyle w:val="Compact"/>
                    <w:jc w:val="center"/>
                  </w:pPr>
                  <w:r>
                    <w:t xml:space="preserve">6.38</w:t>
                  </w:r>
                </w:p>
              </w:tc>
              <w:tc>
                <w:tcPr/>
                <w:p>
                  <w:pPr>
                    <w:pStyle w:val="Compact"/>
                    <w:jc w:val="center"/>
                  </w:pPr>
                  <w:r>
                    <w:t xml:space="preserve">Inf</w:t>
                  </w:r>
                </w:p>
              </w:tc>
              <w:tc>
                <w:tcPr/>
                <w:p>
                  <w:pPr>
                    <w:pStyle w:val="Compact"/>
                    <w:jc w:val="center"/>
                  </w:pPr>
                  <w:r>
                    <w:t xml:space="preserve">0.463</w:t>
                  </w:r>
                </w:p>
              </w:tc>
            </w:tr>
            <w:tr>
              <w:tc>
                <w:tcPr/>
                <w:p>
                  <w:pPr>
                    <w:pStyle w:val="Compact"/>
                    <w:jc w:val="center"/>
                  </w:pPr>
                  <w:r>
                    <w:t xml:space="preserve">dufflitter</w:t>
                  </w:r>
                </w:p>
              </w:tc>
              <w:tc>
                <w:tcPr/>
                <w:p>
                  <w:pPr>
                    <w:pStyle w:val="Compact"/>
                    <w:jc w:val="center"/>
                  </w:pPr>
                  <w:r>
                    <w:t xml:space="preserve">gs - ha</w:t>
                  </w:r>
                </w:p>
              </w:tc>
              <w:tc>
                <w:tcPr/>
                <w:p>
                  <w:pPr>
                    <w:pStyle w:val="Compact"/>
                    <w:jc w:val="center"/>
                  </w:pPr>
                  <w:r>
                    <w:t xml:space="preserve">7.9119</w:t>
                  </w:r>
                </w:p>
              </w:tc>
              <w:tc>
                <w:tcPr/>
                <w:p>
                  <w:pPr>
                    <w:pStyle w:val="Compact"/>
                    <w:jc w:val="center"/>
                  </w:pPr>
                  <w:r>
                    <w:t xml:space="preserve">5.63</w:t>
                  </w:r>
                </w:p>
              </w:tc>
              <w:tc>
                <w:tcPr/>
                <w:p>
                  <w:pPr>
                    <w:pStyle w:val="Compact"/>
                    <w:jc w:val="center"/>
                  </w:pPr>
                  <w:r>
                    <w:t xml:space="preserve">Inf</w:t>
                  </w:r>
                </w:p>
              </w:tc>
              <w:tc>
                <w:tcPr/>
                <w:p>
                  <w:pPr>
                    <w:pStyle w:val="Compact"/>
                    <w:jc w:val="center"/>
                  </w:pPr>
                  <w:r>
                    <w:t xml:space="preserve">0.497</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-5.8698</w:t>
                  </w:r>
                </w:p>
              </w:tc>
              <w:tc>
                <w:tcPr/>
                <w:p>
                  <w:pPr>
                    <w:pStyle w:val="Compact"/>
                    <w:jc w:val="center"/>
                  </w:pPr>
                  <w:r>
                    <w:t xml:space="preserve">4.47</w:t>
                  </w:r>
                </w:p>
              </w:tc>
              <w:tc>
                <w:tcPr/>
                <w:p>
                  <w:pPr>
                    <w:pStyle w:val="Compact"/>
                    <w:jc w:val="center"/>
                  </w:pPr>
                  <w:r>
                    <w:t xml:space="preserve">Inf</w:t>
                  </w:r>
                </w:p>
              </w:tc>
              <w:tc>
                <w:tcPr/>
                <w:p>
                  <w:pPr>
                    <w:pStyle w:val="Compact"/>
                    <w:jc w:val="center"/>
                  </w:pPr>
                  <w:r>
                    <w:t xml:space="preserve">0.555</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2.405</w:t>
                  </w:r>
                </w:p>
              </w:tc>
              <w:tc>
                <w:tcPr/>
                <w:p>
                  <w:pPr>
                    <w:pStyle w:val="Compact"/>
                    <w:jc w:val="center"/>
                  </w:pPr>
                  <w:r>
                    <w:t xml:space="preserve">2.13</w:t>
                  </w:r>
                </w:p>
              </w:tc>
              <w:tc>
                <w:tcPr/>
                <w:p>
                  <w:pPr>
                    <w:pStyle w:val="Compact"/>
                    <w:jc w:val="center"/>
                  </w:pPr>
                  <w:r>
                    <w:t xml:space="preserve">Inf</w:t>
                  </w:r>
                </w:p>
              </w:tc>
              <w:tc>
                <w:tcPr/>
                <w:p>
                  <w:pPr>
                    <w:pStyle w:val="Compact"/>
                    <w:jc w:val="center"/>
                  </w:pPr>
                  <w:r>
                    <w:t xml:space="preserve">0.671</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9.0623</w:t>
                  </w:r>
                </w:p>
              </w:tc>
              <w:tc>
                <w:tcPr/>
                <w:p>
                  <w:pPr>
                    <w:pStyle w:val="Compact"/>
                    <w:jc w:val="center"/>
                  </w:pPr>
                  <w:r>
                    <w:t xml:space="preserve">8.11</w:t>
                  </w:r>
                </w:p>
              </w:tc>
              <w:tc>
                <w:tcPr/>
                <w:p>
                  <w:pPr>
                    <w:pStyle w:val="Compact"/>
                    <w:jc w:val="center"/>
                  </w:pPr>
                  <w:r>
                    <w:t xml:space="preserve">Inf</w:t>
                  </w:r>
                </w:p>
              </w:tc>
              <w:tc>
                <w:tcPr/>
                <w:p>
                  <w:pPr>
                    <w:pStyle w:val="Compact"/>
                    <w:jc w:val="center"/>
                  </w:pPr>
                  <w:r>
                    <w:t xml:space="preserve">0.679</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16.832</w:t>
                  </w:r>
                </w:p>
              </w:tc>
              <w:tc>
                <w:tcPr/>
                <w:p>
                  <w:pPr>
                    <w:pStyle w:val="Compact"/>
                    <w:jc w:val="center"/>
                  </w:pPr>
                  <w:r>
                    <w:t xml:space="preserve">15.77</w:t>
                  </w:r>
                </w:p>
              </w:tc>
              <w:tc>
                <w:tcPr/>
                <w:p>
                  <w:pPr>
                    <w:pStyle w:val="Compact"/>
                    <w:jc w:val="center"/>
                  </w:pPr>
                  <w:r>
                    <w:t xml:space="preserve">Inf</w:t>
                  </w:r>
                </w:p>
              </w:tc>
              <w:tc>
                <w:tcPr/>
                <w:p>
                  <w:pPr>
                    <w:pStyle w:val="Compact"/>
                    <w:jc w:val="center"/>
                  </w:pPr>
                  <w:r>
                    <w:t xml:space="preserve">0.71</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2.2729</w:t>
                  </w:r>
                </w:p>
              </w:tc>
              <w:tc>
                <w:tcPr/>
                <w:p>
                  <w:pPr>
                    <w:pStyle w:val="Compact"/>
                    <w:jc w:val="center"/>
                  </w:pPr>
                  <w:r>
                    <w:t xml:space="preserve">2.15</w:t>
                  </w:r>
                </w:p>
              </w:tc>
              <w:tc>
                <w:tcPr/>
                <w:p>
                  <w:pPr>
                    <w:pStyle w:val="Compact"/>
                    <w:jc w:val="center"/>
                  </w:pPr>
                  <w:r>
                    <w:t xml:space="preserve">Inf</w:t>
                  </w:r>
                </w:p>
              </w:tc>
              <w:tc>
                <w:tcPr/>
                <w:p>
                  <w:pPr>
                    <w:pStyle w:val="Compact"/>
                    <w:jc w:val="center"/>
                  </w:pPr>
                  <w:r>
                    <w:t xml:space="preserve">0.715</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0.7915</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0.748</w:t>
                  </w:r>
                </w:p>
              </w:tc>
            </w:tr>
            <w:tr>
              <w:tc>
                <w:tcPr/>
                <w:p>
                  <w:pPr>
                    <w:pStyle w:val="Compact"/>
                    <w:jc w:val="center"/>
                  </w:pPr>
                  <w:r>
                    <w:t xml:space="preserve">dufflitter</w:t>
                  </w:r>
                </w:p>
              </w:tc>
              <w:tc>
                <w:tcPr/>
                <w:p>
                  <w:pPr>
                    <w:pStyle w:val="Compact"/>
                    <w:jc w:val="center"/>
                  </w:pPr>
                  <w:r>
                    <w:t xml:space="preserve">gs - hd</w:t>
                  </w:r>
                </w:p>
              </w:tc>
              <w:tc>
                <w:tcPr/>
                <w:p>
                  <w:pPr>
                    <w:pStyle w:val="Compact"/>
                    <w:jc w:val="center"/>
                  </w:pPr>
                  <w:r>
                    <w:t xml:space="preserve">-6.475</w:t>
                  </w:r>
                </w:p>
              </w:tc>
              <w:tc>
                <w:tcPr/>
                <w:p>
                  <w:pPr>
                    <w:pStyle w:val="Compact"/>
                    <w:jc w:val="center"/>
                  </w:pPr>
                  <w:r>
                    <w:t xml:space="preserve">6.53</w:t>
                  </w:r>
                </w:p>
              </w:tc>
              <w:tc>
                <w:tcPr/>
                <w:p>
                  <w:pPr>
                    <w:pStyle w:val="Compact"/>
                    <w:jc w:val="center"/>
                  </w:pPr>
                  <w:r>
                    <w:t xml:space="preserve">Inf</w:t>
                  </w:r>
                </w:p>
              </w:tc>
              <w:tc>
                <w:tcPr/>
                <w:p>
                  <w:pPr>
                    <w:pStyle w:val="Compact"/>
                    <w:jc w:val="center"/>
                  </w:pPr>
                  <w:r>
                    <w:t xml:space="preserve">0.755</w:t>
                  </w:r>
                </w:p>
              </w:tc>
            </w:tr>
            <w:tr>
              <w:tc>
                <w:tcPr/>
                <w:p>
                  <w:pPr>
                    <w:pStyle w:val="Compact"/>
                    <w:jc w:val="center"/>
                  </w:pPr>
                  <w:r>
                    <w:t xml:space="preserve">dufflitter</w:t>
                  </w:r>
                </w:p>
              </w:tc>
              <w:tc>
                <w:tcPr/>
                <w:p>
                  <w:pPr>
                    <w:pStyle w:val="Compact"/>
                    <w:jc w:val="center"/>
                  </w:pPr>
                  <w:r>
                    <w:t xml:space="preserve">ld - ha</w:t>
                  </w:r>
                </w:p>
              </w:tc>
              <w:tc>
                <w:tcPr/>
                <w:p>
                  <w:pPr>
                    <w:pStyle w:val="Compact"/>
                    <w:jc w:val="center"/>
                  </w:pPr>
                  <w:r>
                    <w:t xml:space="preserve">5.0791</w:t>
                  </w:r>
                </w:p>
              </w:tc>
              <w:tc>
                <w:tcPr/>
                <w:p>
                  <w:pPr>
                    <w:pStyle w:val="Compact"/>
                    <w:jc w:val="center"/>
                  </w:pPr>
                  <w:r>
                    <w:t xml:space="preserve">5.43</w:t>
                  </w:r>
                </w:p>
              </w:tc>
              <w:tc>
                <w:tcPr/>
                <w:p>
                  <w:pPr>
                    <w:pStyle w:val="Compact"/>
                    <w:jc w:val="center"/>
                  </w:pPr>
                  <w:r>
                    <w:t xml:space="preserve">Inf</w:t>
                  </w:r>
                </w:p>
              </w:tc>
              <w:tc>
                <w:tcPr/>
                <w:p>
                  <w:pPr>
                    <w:pStyle w:val="Compact"/>
                    <w:jc w:val="center"/>
                  </w:pPr>
                  <w:r>
                    <w:t xml:space="preserve">0.786</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15.0192</w:t>
                  </w:r>
                </w:p>
              </w:tc>
              <w:tc>
                <w:tcPr/>
                <w:p>
                  <w:pPr>
                    <w:pStyle w:val="Compact"/>
                    <w:jc w:val="center"/>
                  </w:pPr>
                  <w:r>
                    <w:t xml:space="preserve">16.34</w:t>
                  </w:r>
                </w:p>
              </w:tc>
              <w:tc>
                <w:tcPr/>
                <w:p>
                  <w:pPr>
                    <w:pStyle w:val="Compact"/>
                    <w:jc w:val="center"/>
                  </w:pPr>
                  <w:r>
                    <w:t xml:space="preserve">Inf</w:t>
                  </w:r>
                </w:p>
              </w:tc>
              <w:tc>
                <w:tcPr/>
                <w:p>
                  <w:pPr>
                    <w:pStyle w:val="Compact"/>
                    <w:jc w:val="center"/>
                  </w:pPr>
                  <w:r>
                    <w:t xml:space="preserve">0.795</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-13.4991</w:t>
                  </w:r>
                </w:p>
              </w:tc>
              <w:tc>
                <w:tcPr/>
                <w:p>
                  <w:pPr>
                    <w:pStyle w:val="Compact"/>
                    <w:jc w:val="center"/>
                  </w:pPr>
                  <w:r>
                    <w:t xml:space="preserve">14.91</w:t>
                  </w:r>
                </w:p>
              </w:tc>
              <w:tc>
                <w:tcPr/>
                <w:p>
                  <w:pPr>
                    <w:pStyle w:val="Compact"/>
                    <w:jc w:val="center"/>
                  </w:pPr>
                  <w:r>
                    <w:t xml:space="preserve">Inf</w:t>
                  </w:r>
                </w:p>
              </w:tc>
              <w:tc>
                <w:tcPr/>
                <w:p>
                  <w:pPr>
                    <w:pStyle w:val="Compact"/>
                    <w:jc w:val="center"/>
                  </w:pPr>
                  <w:r>
                    <w:t xml:space="preserve">0.802</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0.8008</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0.809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-11.6863</w:t>
                  </w:r>
                </w:p>
              </w:tc>
              <w:tc>
                <w:tcPr/>
                <w:p>
                  <w:pPr>
                    <w:pStyle w:val="Compact"/>
                    <w:jc w:val="center"/>
                  </w:pPr>
                  <w:r>
                    <w:t xml:space="preserve">15.4</w:t>
                  </w:r>
                </w:p>
              </w:tc>
              <w:tc>
                <w:tcPr/>
                <w:p>
                  <w:pPr>
                    <w:pStyle w:val="Compact"/>
                    <w:jc w:val="center"/>
                  </w:pPr>
                  <w:r>
                    <w:t xml:space="preserve">Inf</w:t>
                  </w:r>
                </w:p>
              </w:tc>
              <w:tc>
                <w:tcPr/>
                <w:p>
                  <w:pPr>
                    <w:pStyle w:val="Compact"/>
                    <w:jc w:val="center"/>
                  </w:pPr>
                  <w:r>
                    <w:t xml:space="preserve">0.873</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0.1962</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0.889</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-0.1051</w:t>
                  </w:r>
                </w:p>
              </w:tc>
              <w:tc>
                <w:tcPr/>
                <w:p>
                  <w:pPr>
                    <w:pStyle w:val="Compact"/>
                    <w:jc w:val="center"/>
                  </w:pPr>
                  <w:r>
                    <w:t xml:space="preserve">0.15</w:t>
                  </w:r>
                </w:p>
              </w:tc>
              <w:tc>
                <w:tcPr/>
                <w:p>
                  <w:pPr>
                    <w:pStyle w:val="Compact"/>
                    <w:jc w:val="center"/>
                  </w:pPr>
                  <w:r>
                    <w:t xml:space="preserve">Inf</w:t>
                  </w:r>
                </w:p>
              </w:tc>
              <w:tc>
                <w:tcPr/>
                <w:p>
                  <w:pPr>
                    <w:pStyle w:val="Compact"/>
                    <w:jc w:val="center"/>
                  </w:pPr>
                  <w:r>
                    <w:t xml:space="preserve">0.896</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4.015</w:t>
                  </w:r>
                </w:p>
              </w:tc>
              <w:tc>
                <w:tcPr/>
                <w:p>
                  <w:pPr>
                    <w:pStyle w:val="Compact"/>
                    <w:jc w:val="center"/>
                  </w:pPr>
                  <w:r>
                    <w:t xml:space="preserve">5.85</w:t>
                  </w:r>
                </w:p>
              </w:tc>
              <w:tc>
                <w:tcPr/>
                <w:p>
                  <w:pPr>
                    <w:pStyle w:val="Compact"/>
                    <w:jc w:val="center"/>
                  </w:pPr>
                  <w:r>
                    <w:t xml:space="preserve">Inf</w:t>
                  </w:r>
                </w:p>
              </w:tc>
              <w:tc>
                <w:tcPr/>
                <w:p>
                  <w:pPr>
                    <w:pStyle w:val="Compact"/>
                    <w:jc w:val="center"/>
                  </w:pPr>
                  <w:r>
                    <w:t xml:space="preserve">0.902</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1.2626</w:t>
                  </w:r>
                </w:p>
              </w:tc>
              <w:tc>
                <w:tcPr/>
                <w:p>
                  <w:pPr>
                    <w:pStyle w:val="Compact"/>
                    <w:jc w:val="center"/>
                  </w:pPr>
                  <w:r>
                    <w:t xml:space="preserve">2.02</w:t>
                  </w:r>
                </w:p>
              </w:tc>
              <w:tc>
                <w:tcPr/>
                <w:p>
                  <w:pPr>
                    <w:pStyle w:val="Compact"/>
                    <w:jc w:val="center"/>
                  </w:pPr>
                  <w:r>
                    <w:t xml:space="preserve">Inf</w:t>
                  </w:r>
                </w:p>
              </w:tc>
              <w:tc>
                <w:tcPr/>
                <w:p>
                  <w:pPr>
                    <w:pStyle w:val="Compact"/>
                    <w:jc w:val="center"/>
                  </w:pPr>
                  <w:r>
                    <w:t xml:space="preserve">0.924</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0.3916</w:t>
                  </w:r>
                </w:p>
              </w:tc>
              <w:tc>
                <w:tcPr/>
                <w:p>
                  <w:pPr>
                    <w:pStyle w:val="Compact"/>
                    <w:jc w:val="center"/>
                  </w:pPr>
                  <w:r>
                    <w:t xml:space="preserve">0.68</w:t>
                  </w:r>
                </w:p>
              </w:tc>
              <w:tc>
                <w:tcPr/>
                <w:p>
                  <w:pPr>
                    <w:pStyle w:val="Compact"/>
                    <w:jc w:val="center"/>
                  </w:pPr>
                  <w:r>
                    <w:t xml:space="preserve">Inf</w:t>
                  </w:r>
                </w:p>
              </w:tc>
              <w:tc>
                <w:tcPr/>
                <w:p>
                  <w:pPr>
                    <w:pStyle w:val="Compact"/>
                    <w:jc w:val="center"/>
                  </w:pPr>
                  <w:r>
                    <w:t xml:space="preserve">0.94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1.1306</w:t>
                  </w:r>
                </w:p>
              </w:tc>
              <w:tc>
                <w:tcPr/>
                <w:p>
                  <w:pPr>
                    <w:pStyle w:val="Compact"/>
                    <w:jc w:val="center"/>
                  </w:pPr>
                  <w:r>
                    <w:t xml:space="preserve">2.03</w:t>
                  </w:r>
                </w:p>
              </w:tc>
              <w:tc>
                <w:tcPr/>
                <w:p>
                  <w:pPr>
                    <w:pStyle w:val="Compact"/>
                    <w:jc w:val="center"/>
                  </w:pPr>
                  <w:r>
                    <w:t xml:space="preserve">Inf</w:t>
                  </w:r>
                </w:p>
              </w:tc>
              <w:tc>
                <w:tcPr/>
                <w:p>
                  <w:pPr>
                    <w:pStyle w:val="Compact"/>
                    <w:jc w:val="center"/>
                  </w:pPr>
                  <w:r>
                    <w:t xml:space="preserve">0.945</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1.1424</w:t>
                  </w:r>
                </w:p>
              </w:tc>
              <w:tc>
                <w:tcPr/>
                <w:p>
                  <w:pPr>
                    <w:pStyle w:val="Compact"/>
                    <w:jc w:val="center"/>
                  </w:pPr>
                  <w:r>
                    <w:t xml:space="preserve">2.28</w:t>
                  </w:r>
                </w:p>
              </w:tc>
              <w:tc>
                <w:tcPr/>
                <w:p>
                  <w:pPr>
                    <w:pStyle w:val="Compact"/>
                    <w:jc w:val="center"/>
                  </w:pPr>
                  <w:r>
                    <w:t xml:space="preserve">Inf</w:t>
                  </w:r>
                </w:p>
              </w:tc>
              <w:tc>
                <w:tcPr/>
                <w:p>
                  <w:pPr>
                    <w:pStyle w:val="Compact"/>
                    <w:jc w:val="center"/>
                  </w:pPr>
                  <w:r>
                    <w:t xml:space="preserve">0.959</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0.401</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0.96</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0.3998</w:t>
                  </w:r>
                </w:p>
              </w:tc>
              <w:tc>
                <w:tcPr/>
                <w:p>
                  <w:pPr>
                    <w:pStyle w:val="Compact"/>
                    <w:jc w:val="center"/>
                  </w:pPr>
                  <w:r>
                    <w:t xml:space="preserve">0.83</w:t>
                  </w:r>
                </w:p>
              </w:tc>
              <w:tc>
                <w:tcPr/>
                <w:p>
                  <w:pPr>
                    <w:pStyle w:val="Compact"/>
                    <w:jc w:val="center"/>
                  </w:pPr>
                  <w:r>
                    <w:t xml:space="preserve">Inf</w:t>
                  </w:r>
                </w:p>
              </w:tc>
              <w:tc>
                <w:tcPr/>
                <w:p>
                  <w:pPr>
                    <w:pStyle w:val="Compact"/>
                    <w:jc w:val="center"/>
                  </w:pPr>
                  <w:r>
                    <w:t xml:space="preserve">0.963</w:t>
                  </w:r>
                </w:p>
              </w:tc>
            </w:tr>
            <w:tr>
              <w:tc>
                <w:tcPr/>
                <w:p>
                  <w:pPr>
                    <w:pStyle w:val="Compact"/>
                    <w:jc w:val="center"/>
                  </w:pPr>
                  <w:r>
                    <w:t xml:space="preserve">dufflitter</w:t>
                  </w:r>
                </w:p>
              </w:tc>
              <w:tc>
                <w:tcPr/>
                <w:p>
                  <w:pPr>
                    <w:pStyle w:val="Compact"/>
                    <w:jc w:val="center"/>
                  </w:pPr>
                  <w:r>
                    <w:t xml:space="preserve">gs - ld</w:t>
                  </w:r>
                </w:p>
              </w:tc>
              <w:tc>
                <w:tcPr/>
                <w:p>
                  <w:pPr>
                    <w:pStyle w:val="Compact"/>
                    <w:jc w:val="center"/>
                  </w:pPr>
                  <w:r>
                    <w:t xml:space="preserve">2.8328</w:t>
                  </w:r>
                </w:p>
              </w:tc>
              <w:tc>
                <w:tcPr/>
                <w:p>
                  <w:pPr>
                    <w:pStyle w:val="Compact"/>
                    <w:jc w:val="center"/>
                  </w:pPr>
                  <w:r>
                    <w:t xml:space="preserve">5.93</w:t>
                  </w:r>
                </w:p>
              </w:tc>
              <w:tc>
                <w:tcPr/>
                <w:p>
                  <w:pPr>
                    <w:pStyle w:val="Compact"/>
                    <w:jc w:val="center"/>
                  </w:pPr>
                  <w:r>
                    <w:t xml:space="preserve">Inf</w:t>
                  </w:r>
                </w:p>
              </w:tc>
              <w:tc>
                <w:tcPr/>
                <w:p>
                  <w:pPr>
                    <w:pStyle w:val="Compact"/>
                    <w:jc w:val="center"/>
                  </w:pPr>
                  <w:r>
                    <w:t xml:space="preserve">0.964</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3.3329</w:t>
                  </w:r>
                </w:p>
              </w:tc>
              <w:tc>
                <w:tcPr/>
                <w:p>
                  <w:pPr>
                    <w:pStyle w:val="Compact"/>
                    <w:jc w:val="center"/>
                  </w:pPr>
                  <w:r>
                    <w:t xml:space="preserve">18.36</w:t>
                  </w:r>
                </w:p>
              </w:tc>
              <w:tc>
                <w:tcPr/>
                <w:p>
                  <w:pPr>
                    <w:pStyle w:val="Compact"/>
                    <w:jc w:val="center"/>
                  </w:pPr>
                  <w:r>
                    <w:t xml:space="preserve">Inf</w:t>
                  </w:r>
                </w:p>
              </w:tc>
              <w:tc>
                <w:tcPr/>
                <w:p>
                  <w:pPr>
                    <w:pStyle w:val="Compact"/>
                    <w:jc w:val="center"/>
                  </w:pPr>
                  <w:r>
                    <w:t xml:space="preserve">0.998</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-1.8127</w:t>
                  </w:r>
                </w:p>
              </w:tc>
              <w:tc>
                <w:tcPr/>
                <w:p>
                  <w:pPr>
                    <w:pStyle w:val="Compact"/>
                    <w:jc w:val="center"/>
                  </w:pPr>
                  <w:r>
                    <w:t xml:space="preserve">12.21</w:t>
                  </w:r>
                </w:p>
              </w:tc>
              <w:tc>
                <w:tcPr/>
                <w:p>
                  <w:pPr>
                    <w:pStyle w:val="Compact"/>
                    <w:jc w:val="center"/>
                  </w:pPr>
                  <w:r>
                    <w:t xml:space="preserve">Inf</w:t>
                  </w:r>
                </w:p>
              </w:tc>
              <w:tc>
                <w:tcPr/>
                <w:p>
                  <w:pPr>
                    <w:pStyle w:val="Compact"/>
                    <w:jc w:val="center"/>
                  </w:pPr>
                  <w:r>
                    <w:t xml:space="preserve">0.999</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0.132</w:t>
                  </w:r>
                </w:p>
              </w:tc>
              <w:tc>
                <w:tcPr/>
                <w:p>
                  <w:pPr>
                    <w:pStyle w:val="Compact"/>
                    <w:jc w:val="center"/>
                  </w:pPr>
                  <w:r>
                    <w:t xml:space="preserve">1.85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-0.0094</w:t>
                  </w:r>
                </w:p>
              </w:tc>
              <w:tc>
                <w:tcPr/>
                <w:p>
                  <w:pPr>
                    <w:pStyle w:val="Compact"/>
                    <w:jc w:val="center"/>
                  </w:pPr>
                  <w:r>
                    <w:t xml:space="preserve">0.77</w:t>
                  </w:r>
                </w:p>
              </w:tc>
              <w:tc>
                <w:tcPr/>
                <w:p>
                  <w:pPr>
                    <w:pStyle w:val="Compact"/>
                    <w:jc w:val="center"/>
                  </w:pPr>
                  <w:r>
                    <w:t xml:space="preserve">Inf</w:t>
                  </w:r>
                </w:p>
              </w:tc>
              <w:tc>
                <w:tcPr/>
                <w:p>
                  <w:pPr>
                    <w:pStyle w:val="Compact"/>
                    <w:jc w:val="center"/>
                  </w:pPr>
                  <w:r>
                    <w:t xml:space="preserve">1</w:t>
                  </w:r>
                </w:p>
              </w:tc>
            </w:tr>
          </w:tbl>
          <w:bookmarkEnd w:id="1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tbl-fuel-pre-pct-grand-means"/>
          <w:p>
            <w:pPr>
              <w:jc w:val="center"/>
            </w:pPr>
            <w:pPr>
              <w:jc w:val="left"/>
              <w:spacing w:before="200"/>
              <w:pStyle w:val="ImageCaption"/>
            </w:pPr>
            <w:r>
              <w:t xml:space="preserve">Table 3.12: Modeled grand means Mg ha</w:t>
            </w:r>
            <w:r>
              <w:rPr>
                <w:vertAlign w:val="superscript"/>
              </w:rPr>
              <w:t xml:space="preserve">-1</w:t>
            </w:r>
            <w:r>
              <w:t xml:space="preserve"> </w:t>
            </w:r>
            <w:r>
              <w:t xml:space="preserve">of fuel loading 10 years after harvest and prior to PCT. The asymptotic 95% confidence intervals are based on the normal approximation.</w:t>
            </w:r>
          </w:p>
          <w:tbl>
            <w:tblPr>
              <w:tblStyle w:val="Table"/>
              <w:tblW w:type="pct" w:w="4671"/>
              <w:tblLayout w:type="fixed"/>
              <w:tblLook w:firstRow="1" w:lastRow="0" w:firstColumn="0" w:lastColumn="0" w:noHBand="0" w:noVBand="0" w:val="0020"/>
            </w:tblPr>
            <w:tblGrid>
              <w:gridCol w:w="1354"/>
              <w:gridCol w:w="1042"/>
              <w:gridCol w:w="1146"/>
              <w:gridCol w:w="729"/>
              <w:gridCol w:w="625"/>
              <w:gridCol w:w="1250"/>
              <w:gridCol w:w="1250"/>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overall</w:t>
                  </w:r>
                </w:p>
              </w:tc>
              <w:tc>
                <w:tcPr/>
                <w:p>
                  <w:pPr>
                    <w:pStyle w:val="Compact"/>
                    <w:jc w:val="center"/>
                  </w:pPr>
                  <w:r>
                    <w:t xml:space="preserve">46.86</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38.6</w:t>
                  </w:r>
                </w:p>
              </w:tc>
              <w:tc>
                <w:tcPr/>
                <w:p>
                  <w:pPr>
                    <w:pStyle w:val="Compact"/>
                    <w:jc w:val="center"/>
                  </w:pPr>
                  <w:r>
                    <w:t xml:space="preserve">55.1</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0.86</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0.63</w:t>
                  </w:r>
                </w:p>
              </w:tc>
              <w:tc>
                <w:tcPr/>
                <w:p>
                  <w:pPr>
                    <w:pStyle w:val="Compact"/>
                    <w:jc w:val="center"/>
                  </w:pPr>
                  <w:r>
                    <w:t xml:space="preserve">1.1</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3.21</w:t>
                  </w:r>
                </w:p>
              </w:tc>
              <w:tc>
                <w:tcPr/>
                <w:p>
                  <w:pPr>
                    <w:pStyle w:val="Compact"/>
                    <w:jc w:val="center"/>
                  </w:pPr>
                  <w:r>
                    <w:t xml:space="preserve">0.28</w:t>
                  </w:r>
                </w:p>
              </w:tc>
              <w:tc>
                <w:tcPr/>
                <w:p>
                  <w:pPr>
                    <w:pStyle w:val="Compact"/>
                    <w:jc w:val="center"/>
                  </w:pPr>
                  <w:r>
                    <w:t xml:space="preserve">Inf</w:t>
                  </w:r>
                </w:p>
              </w:tc>
              <w:tc>
                <w:tcPr/>
                <w:p>
                  <w:pPr>
                    <w:pStyle w:val="Compact"/>
                    <w:jc w:val="center"/>
                  </w:pPr>
                  <w:r>
                    <w:t xml:space="preserve">2.65</w:t>
                  </w:r>
                </w:p>
              </w:tc>
              <w:tc>
                <w:tcPr/>
                <w:p>
                  <w:pPr>
                    <w:pStyle w:val="Compact"/>
                    <w:jc w:val="center"/>
                  </w:pPr>
                  <w:r>
                    <w:t xml:space="preserve">3.8</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9.71</w:t>
                  </w:r>
                </w:p>
              </w:tc>
              <w:tc>
                <w:tcPr/>
                <w:p>
                  <w:pPr>
                    <w:pStyle w:val="Compact"/>
                    <w:jc w:val="center"/>
                  </w:pPr>
                  <w:r>
                    <w:t xml:space="preserve">1.1</w:t>
                  </w:r>
                </w:p>
              </w:tc>
              <w:tc>
                <w:tcPr/>
                <w:p>
                  <w:pPr>
                    <w:pStyle w:val="Compact"/>
                    <w:jc w:val="center"/>
                  </w:pPr>
                  <w:r>
                    <w:t xml:space="preserve">Inf</w:t>
                  </w:r>
                </w:p>
              </w:tc>
              <w:tc>
                <w:tcPr/>
                <w:p>
                  <w:pPr>
                    <w:pStyle w:val="Compact"/>
                    <w:jc w:val="center"/>
                  </w:pPr>
                  <w:r>
                    <w:t xml:space="preserve">7.56</w:t>
                  </w:r>
                </w:p>
              </w:tc>
              <w:tc>
                <w:tcPr/>
                <w:p>
                  <w:pPr>
                    <w:pStyle w:val="Compact"/>
                    <w:jc w:val="center"/>
                  </w:pPr>
                  <w:r>
                    <w:t xml:space="preserve">11.9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34.29</w:t>
                  </w:r>
                </w:p>
              </w:tc>
              <w:tc>
                <w:tcPr/>
                <w:p>
                  <w:pPr>
                    <w:pStyle w:val="Compact"/>
                    <w:jc w:val="center"/>
                  </w:pPr>
                  <w:r>
                    <w:t xml:space="preserve">6.31</w:t>
                  </w:r>
                </w:p>
              </w:tc>
              <w:tc>
                <w:tcPr/>
                <w:p>
                  <w:pPr>
                    <w:pStyle w:val="Compact"/>
                    <w:jc w:val="center"/>
                  </w:pPr>
                  <w:r>
                    <w:t xml:space="preserve">Inf</w:t>
                  </w:r>
                </w:p>
              </w:tc>
              <w:tc>
                <w:tcPr/>
                <w:p>
                  <w:pPr>
                    <w:pStyle w:val="Compact"/>
                    <w:jc w:val="center"/>
                  </w:pPr>
                  <w:r>
                    <w:t xml:space="preserve">21.93</w:t>
                  </w:r>
                </w:p>
              </w:tc>
              <w:tc>
                <w:tcPr/>
                <w:p>
                  <w:pPr>
                    <w:pStyle w:val="Compact"/>
                    <w:jc w:val="center"/>
                  </w:pPr>
                  <w:r>
                    <w:t xml:space="preserve">46.6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19.67</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12.77</w:t>
                  </w:r>
                </w:p>
              </w:tc>
              <w:tc>
                <w:tcPr/>
                <w:p>
                  <w:pPr>
                    <w:pStyle w:val="Compact"/>
                    <w:jc w:val="center"/>
                  </w:pPr>
                  <w:r>
                    <w:t xml:space="preserve">26.6</w:t>
                  </w:r>
                </w:p>
              </w:tc>
            </w:tr>
          </w:tbl>
          <w:bookmarkEnd w:id="102"/>
          <w:p/>
        </w:tc>
      </w:tr>
    </w:tbl>
    <w:bookmarkEnd w:id="103"/>
    <w:bookmarkStart w:id="112" w:name="post-pct"/>
    <w:p>
      <w:pPr>
        <w:pStyle w:val="Heading3"/>
      </w:pPr>
      <w:r>
        <w:t xml:space="preserve">3.3.2 Post-pct</w:t>
      </w:r>
    </w:p>
    <w:p>
      <w:pPr>
        <w:pStyle w:val="FirstParagraph"/>
      </w:pPr>
      <w:r>
        <w:t xml:space="preserve">After PCT, the response for all six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tbl-fuel-post-pct"/>
          <w:p>
            <w:pPr>
              <w:jc w:val="center"/>
            </w:pPr>
            <w:pPr>
              <w:jc w:val="left"/>
              <w:spacing w:before="200"/>
              <w:pStyle w:val="ImageCaption"/>
            </w:pPr>
            <w:r>
              <w:t xml:space="preserve">Table 3.13: Model specifications for six fuel classes after pct.</w:t>
            </w:r>
          </w:p>
          <w:tbl>
            <w:tblPr>
              <w:tblStyle w:val="Table"/>
              <w:tblW w:type="pct" w:w="4852"/>
              <w:tblLayout w:type="fixed"/>
              <w:tblLook w:firstRow="1" w:lastRow="0" w:firstColumn="0" w:lastColumn="0" w:noHBand="0" w:noVBand="0" w:val="0020"/>
            </w:tblPr>
            <w:tblGrid>
              <w:gridCol w:w="1408"/>
              <w:gridCol w:w="528"/>
              <w:gridCol w:w="410"/>
              <w:gridCol w:w="3226"/>
              <w:gridCol w:w="1114"/>
              <w:gridCol w:w="997"/>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~trt + site</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 Difference</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104"/>
          <w:p/>
        </w:tc>
      </w:tr>
    </w:tbl>
    <w:p>
      <w:pPr>
        <w:pStyle w:val="BodyText"/>
      </w:pPr>
      <w:r>
        <w:t xml:space="preserve">Unlike pre-pct fuel loading which differed little among treatments in terms of</w:t>
      </w:r>
      <w:r>
        <w:t xml:space="preserve"> </w:t>
      </w:r>
      <w:r>
        <w:t xml:space="preserve">fine dead surface fuels, the PCT treatment resulted in additional fine dead</w:t>
      </w:r>
      <w:r>
        <w:t xml:space="preserve"> </w:t>
      </w:r>
      <w:r>
        <w:t xml:space="preserve">surface fuels that differed significantly among treatments. Whereas vegetation</w:t>
      </w:r>
      <w:r>
        <w:t xml:space="preserve"> </w:t>
      </w:r>
      <w:r>
        <w:t xml:space="preserve">fuel loading was reduced and differences between treatments were lessened.</w:t>
      </w:r>
      <w:r>
        <w:t xml:space="preserve"> </w:t>
      </w:r>
      <w:r>
        <w:t xml:space="preserve">Unlike 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w:t>
      </w:r>
      <w:r>
        <w:t xml:space="preserve"> </w:t>
      </w:r>
      <w:r>
        <w:t xml:space="preserve">2.3</w:t>
      </w:r>
      <w:r>
        <w:t xml:space="preserve"> </w:t>
      </w:r>
      <w:r>
        <w:t xml:space="preserve">Mg 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ayout w:type="fixed"/>
        <w:tblLook w:firstRow="0" w:lastRow="0" w:firstColumn="0" w:lastColumn="0" w:noHBand="0" w:noVBand="0" w:val="0000"/>
      </w:tblPr>
      <w:tblGrid>
        <w:gridCol w:w="7920"/>
      </w:tblGrid>
      <w:tr>
        <w:tc>
          <w:tcPr/>
          <w:bookmarkStart w:id="108" w:name="fig-fuel-post-pct"/>
          <w:p>
            <w:pPr>
              <w:pStyle w:val="Compact"/>
              <w:jc w:val="center"/>
            </w:pPr>
            <w:r>
              <w:drawing>
                <wp:inline>
                  <wp:extent cx="5334000" cy="2667000"/>
                  <wp:effectExtent b="0" l="0" r="0" t="0"/>
                  <wp:docPr descr="" title="" id="106" name="Picture"/>
                  <a:graphic>
                    <a:graphicData uri="http://schemas.openxmlformats.org/drawingml/2006/picture">
                      <pic:pic>
                        <pic:nvPicPr>
                          <pic:cNvPr descr="thesis/results_files/figure-docx/fig-fuel-post-pct-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8"/>
        </w:tc>
      </w:tr>
    </w:tbl>
    <w:tbl>
      <w:tblPr>
        <w:tblStyle w:val="Table"/>
        <w:tblW w:type="pct" w:w="5000"/>
        <w:tblLayout w:type="fixed"/>
        <w:tblLook w:firstRow="0" w:lastRow="0" w:firstColumn="0" w:lastColumn="0" w:noHBand="0" w:noVBand="0" w:val="0000"/>
      </w:tblPr>
      <w:tblGrid>
        <w:gridCol w:w="7920"/>
      </w:tblGrid>
      <w:tr>
        <w:tc>
          <w:tcPr/>
          <w:bookmarkStart w:id="109" w:name="tbl-fuel-post-pct-means"/>
          <w:p>
            <w:pPr>
              <w:jc w:val="center"/>
            </w:pPr>
            <w:pPr>
              <w:jc w:val="left"/>
              <w:spacing w:before="200"/>
              <w:pStyle w:val="ImageCaption"/>
            </w:pPr>
            <w:r>
              <w:t xml:space="preserve">Table 3.14: Estimated marginal means (Mg ha</w:t>
            </w:r>
            <w:r>
              <w:rPr>
                <w:vertAlign w:val="superscript"/>
              </w:rPr>
              <w:t xml:space="preserve">-1</w:t>
            </w:r>
            <w:r>
              <w:t xml:space="preserve">) for six fuel classes and four overstory treatments 10 years after partial harvest and after pre-commercial thinning (PCT). The asymptotic 95% confidence intervals are based on the normal approximation.</w:t>
            </w:r>
          </w:p>
          <w:tbl>
            <w:tblPr>
              <w:tblStyle w:val="Table"/>
              <w:tblW w:type="pct" w:w="4675"/>
              <w:tblLayout w:type="fixed"/>
              <w:tblLook w:firstRow="1" w:lastRow="0" w:firstColumn="0" w:lastColumn="0" w:noHBand="0" w:noVBand="0" w:val="0020"/>
            </w:tblPr>
            <w:tblGrid>
              <w:gridCol w:w="1131"/>
              <w:gridCol w:w="1234"/>
              <w:gridCol w:w="1131"/>
              <w:gridCol w:w="822"/>
              <w:gridCol w:w="617"/>
              <w:gridCol w:w="1234"/>
              <w:gridCol w:w="1234"/>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2.6</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1.63</w:t>
                  </w:r>
                </w:p>
              </w:tc>
              <w:tc>
                <w:tcPr/>
                <w:p>
                  <w:pPr>
                    <w:pStyle w:val="Compact"/>
                    <w:jc w:val="center"/>
                  </w:pPr>
                  <w:r>
                    <w:t xml:space="preserve">3.6</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2.8</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1.71</w:t>
                  </w:r>
                </w:p>
              </w:tc>
              <w:tc>
                <w:tcPr/>
                <w:p>
                  <w:pPr>
                    <w:pStyle w:val="Compact"/>
                    <w:jc w:val="center"/>
                  </w:pPr>
                  <w:r>
                    <w:t xml:space="preserve">3.9</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1.4</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0.89</w:t>
                  </w:r>
                </w:p>
              </w:tc>
              <w:tc>
                <w:tcPr/>
                <w:p>
                  <w:pPr>
                    <w:pStyle w:val="Compact"/>
                    <w:jc w:val="center"/>
                  </w:pPr>
                  <w:r>
                    <w:t xml:space="preserve">1.9</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0.38</w:t>
                  </w:r>
                </w:p>
              </w:tc>
              <w:tc>
                <w:tcPr/>
                <w:p>
                  <w:pPr>
                    <w:pStyle w:val="Compact"/>
                    <w:jc w:val="center"/>
                  </w:pPr>
                  <w:r>
                    <w:t xml:space="preserve">Inf</w:t>
                  </w:r>
                </w:p>
              </w:tc>
              <w:tc>
                <w:tcPr/>
                <w:p>
                  <w:pPr>
                    <w:pStyle w:val="Compact"/>
                    <w:jc w:val="center"/>
                  </w:pPr>
                  <w:r>
                    <w:t xml:space="preserve">1.47</w:t>
                  </w:r>
                </w:p>
              </w:tc>
              <w:tc>
                <w:tcPr/>
                <w:p>
                  <w:pPr>
                    <w:pStyle w:val="Compact"/>
                    <w:jc w:val="center"/>
                  </w:pPr>
                  <w:r>
                    <w:t xml:space="preserve">2.9</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9</w:t>
                  </w:r>
                </w:p>
              </w:tc>
              <w:tc>
                <w:tcPr/>
                <w:p>
                  <w:pPr>
                    <w:pStyle w:val="Compact"/>
                    <w:jc w:val="center"/>
                  </w:pPr>
                  <w:r>
                    <w:t xml:space="preserve">1.7</w:t>
                  </w:r>
                </w:p>
              </w:tc>
              <w:tc>
                <w:tcPr/>
                <w:p>
                  <w:pPr>
                    <w:pStyle w:val="Compact"/>
                    <w:jc w:val="center"/>
                  </w:pPr>
                  <w:r>
                    <w:t xml:space="preserve">Inf</w:t>
                  </w:r>
                </w:p>
              </w:tc>
              <w:tc>
                <w:tcPr/>
                <w:p>
                  <w:pPr>
                    <w:pStyle w:val="Compact"/>
                    <w:jc w:val="center"/>
                  </w:pPr>
                  <w:r>
                    <w:t xml:space="preserve">5.68</w:t>
                  </w:r>
                </w:p>
              </w:tc>
              <w:tc>
                <w:tcPr/>
                <w:p>
                  <w:pPr>
                    <w:pStyle w:val="Compact"/>
                    <w:jc w:val="center"/>
                  </w:pPr>
                  <w:r>
                    <w:t xml:space="preserve">12.3</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5.5</w:t>
                  </w:r>
                </w:p>
              </w:tc>
              <w:tc>
                <w:tcPr/>
                <w:p>
                  <w:pPr>
                    <w:pStyle w:val="Compact"/>
                    <w:jc w:val="center"/>
                  </w:pPr>
                  <w:r>
                    <w:t xml:space="preserve">1.05</w:t>
                  </w:r>
                </w:p>
              </w:tc>
              <w:tc>
                <w:tcPr/>
                <w:p>
                  <w:pPr>
                    <w:pStyle w:val="Compact"/>
                    <w:jc w:val="center"/>
                  </w:pPr>
                  <w:r>
                    <w:t xml:space="preserve">Inf</w:t>
                  </w:r>
                </w:p>
              </w:tc>
              <w:tc>
                <w:tcPr/>
                <w:p>
                  <w:pPr>
                    <w:pStyle w:val="Compact"/>
                    <w:jc w:val="center"/>
                  </w:pPr>
                  <w:r>
                    <w:t xml:space="preserve">3.44</w:t>
                  </w:r>
                </w:p>
              </w:tc>
              <w:tc>
                <w:tcPr/>
                <w:p>
                  <w:pPr>
                    <w:pStyle w:val="Compact"/>
                    <w:jc w:val="center"/>
                  </w:pPr>
                  <w:r>
                    <w:t xml:space="preserve">7.6</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3.9</w:t>
                  </w:r>
                </w:p>
              </w:tc>
              <w:tc>
                <w:tcPr/>
                <w:p>
                  <w:pPr>
                    <w:pStyle w:val="Compact"/>
                    <w:jc w:val="center"/>
                  </w:pPr>
                  <w:r>
                    <w:t xml:space="preserve">0.73</w:t>
                  </w:r>
                </w:p>
              </w:tc>
              <w:tc>
                <w:tcPr/>
                <w:p>
                  <w:pPr>
                    <w:pStyle w:val="Compact"/>
                    <w:jc w:val="center"/>
                  </w:pPr>
                  <w:r>
                    <w:t xml:space="preserve">Inf</w:t>
                  </w:r>
                </w:p>
              </w:tc>
              <w:tc>
                <w:tcPr/>
                <w:p>
                  <w:pPr>
                    <w:pStyle w:val="Compact"/>
                    <w:jc w:val="center"/>
                  </w:pPr>
                  <w:r>
                    <w:t xml:space="preserve">2.41</w:t>
                  </w:r>
                </w:p>
              </w:tc>
              <w:tc>
                <w:tcPr/>
                <w:p>
                  <w:pPr>
                    <w:pStyle w:val="Compact"/>
                    <w:jc w:val="center"/>
                  </w:pPr>
                  <w:r>
                    <w:t xml:space="preserve">5.3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1.92</w:t>
                  </w:r>
                </w:p>
              </w:tc>
              <w:tc>
                <w:tcPr/>
                <w:p>
                  <w:pPr>
                    <w:pStyle w:val="Compact"/>
                    <w:jc w:val="center"/>
                  </w:pPr>
                  <w:r>
                    <w:t xml:space="preserve">4.2</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19.1</w:t>
                  </w:r>
                </w:p>
              </w:tc>
              <w:tc>
                <w:tcPr/>
                <w:p>
                  <w:pPr>
                    <w:pStyle w:val="Compact"/>
                    <w:jc w:val="center"/>
                  </w:pPr>
                  <w:r>
                    <w:t xml:space="preserve">4.52</w:t>
                  </w:r>
                </w:p>
              </w:tc>
              <w:tc>
                <w:tcPr/>
                <w:p>
                  <w:pPr>
                    <w:pStyle w:val="Compact"/>
                    <w:jc w:val="center"/>
                  </w:pPr>
                  <w:r>
                    <w:t xml:space="preserve">Inf</w:t>
                  </w:r>
                </w:p>
              </w:tc>
              <w:tc>
                <w:tcPr/>
                <w:p>
                  <w:pPr>
                    <w:pStyle w:val="Compact"/>
                    <w:jc w:val="center"/>
                  </w:pPr>
                  <w:r>
                    <w:t xml:space="preserve">10.26</w:t>
                  </w:r>
                </w:p>
              </w:tc>
              <w:tc>
                <w:tcPr/>
                <w:p>
                  <w:pPr>
                    <w:pStyle w:val="Compact"/>
                    <w:jc w:val="center"/>
                  </w:pPr>
                  <w:r>
                    <w:t xml:space="preserve">28</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13.2</w:t>
                  </w:r>
                </w:p>
              </w:tc>
              <w:tc>
                <w:tcPr/>
                <w:p>
                  <w:pPr>
                    <w:pStyle w:val="Compact"/>
                    <w:jc w:val="center"/>
                  </w:pPr>
                  <w:r>
                    <w:t xml:space="preserve">2.97</w:t>
                  </w:r>
                </w:p>
              </w:tc>
              <w:tc>
                <w:tcPr/>
                <w:p>
                  <w:pPr>
                    <w:pStyle w:val="Compact"/>
                    <w:jc w:val="center"/>
                  </w:pPr>
                  <w:r>
                    <w:t xml:space="preserve">Inf</w:t>
                  </w:r>
                </w:p>
              </w:tc>
              <w:tc>
                <w:tcPr/>
                <w:p>
                  <w:pPr>
                    <w:pStyle w:val="Compact"/>
                    <w:jc w:val="center"/>
                  </w:pPr>
                  <w:r>
                    <w:t xml:space="preserve">7.36</w:t>
                  </w:r>
                </w:p>
              </w:tc>
              <w:tc>
                <w:tcPr/>
                <w:p>
                  <w:pPr>
                    <w:pStyle w:val="Compact"/>
                    <w:jc w:val="center"/>
                  </w:pPr>
                  <w:r>
                    <w:t xml:space="preserve">19</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10.5</w:t>
                  </w:r>
                </w:p>
              </w:tc>
              <w:tc>
                <w:tcPr/>
                <w:p>
                  <w:pPr>
                    <w:pStyle w:val="Compact"/>
                    <w:jc w:val="center"/>
                  </w:pPr>
                  <w:r>
                    <w:t xml:space="preserve">2.41</w:t>
                  </w:r>
                </w:p>
              </w:tc>
              <w:tc>
                <w:tcPr/>
                <w:p>
                  <w:pPr>
                    <w:pStyle w:val="Compact"/>
                    <w:jc w:val="center"/>
                  </w:pPr>
                  <w:r>
                    <w:t xml:space="preserve">Inf</w:t>
                  </w:r>
                </w:p>
              </w:tc>
              <w:tc>
                <w:tcPr/>
                <w:p>
                  <w:pPr>
                    <w:pStyle w:val="Compact"/>
                    <w:jc w:val="center"/>
                  </w:pPr>
                  <w:r>
                    <w:t xml:space="preserve">5.81</w:t>
                  </w:r>
                </w:p>
              </w:tc>
              <w:tc>
                <w:tcPr/>
                <w:p>
                  <w:pPr>
                    <w:pStyle w:val="Compact"/>
                    <w:jc w:val="center"/>
                  </w:pPr>
                  <w:r>
                    <w:t xml:space="preserve">15.3</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7.4</w:t>
                  </w:r>
                </w:p>
              </w:tc>
              <w:tc>
                <w:tcPr/>
                <w:p>
                  <w:pPr>
                    <w:pStyle w:val="Compact"/>
                    <w:jc w:val="center"/>
                  </w:pPr>
                  <w:r>
                    <w:t xml:space="preserve">1.74</w:t>
                  </w:r>
                </w:p>
              </w:tc>
              <w:tc>
                <w:tcPr/>
                <w:p>
                  <w:pPr>
                    <w:pStyle w:val="Compact"/>
                    <w:jc w:val="center"/>
                  </w:pPr>
                  <w:r>
                    <w:t xml:space="preserve">Inf</w:t>
                  </w:r>
                </w:p>
              </w:tc>
              <w:tc>
                <w:tcPr/>
                <w:p>
                  <w:pPr>
                    <w:pStyle w:val="Compact"/>
                    <w:jc w:val="center"/>
                  </w:pPr>
                  <w:r>
                    <w:t xml:space="preserve">4.03</w:t>
                  </w:r>
                </w:p>
              </w:tc>
              <w:tc>
                <w:tcPr/>
                <w:p>
                  <w:pPr>
                    <w:pStyle w:val="Compact"/>
                    <w:jc w:val="center"/>
                  </w:pPr>
                  <w:r>
                    <w:t xml:space="preserve">10.8</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43.9</w:t>
                  </w:r>
                </w:p>
              </w:tc>
              <w:tc>
                <w:tcPr/>
                <w:p>
                  <w:pPr>
                    <w:pStyle w:val="Compact"/>
                    <w:jc w:val="center"/>
                  </w:pPr>
                  <w:r>
                    <w:t xml:space="preserve">10.61</w:t>
                  </w:r>
                </w:p>
              </w:tc>
              <w:tc>
                <w:tcPr/>
                <w:p>
                  <w:pPr>
                    <w:pStyle w:val="Compact"/>
                    <w:jc w:val="center"/>
                  </w:pPr>
                  <w:r>
                    <w:t xml:space="preserve">Inf</w:t>
                  </w:r>
                </w:p>
              </w:tc>
              <w:tc>
                <w:tcPr/>
                <w:p>
                  <w:pPr>
                    <w:pStyle w:val="Compact"/>
                    <w:jc w:val="center"/>
                  </w:pPr>
                  <w:r>
                    <w:t xml:space="preserve">23.08</w:t>
                  </w:r>
                </w:p>
              </w:tc>
              <w:tc>
                <w:tcPr/>
                <w:p>
                  <w:pPr>
                    <w:pStyle w:val="Compact"/>
                    <w:jc w:val="center"/>
                  </w:pPr>
                  <w:r>
                    <w:t xml:space="preserve">64.7</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22.8</w:t>
                  </w:r>
                </w:p>
              </w:tc>
              <w:tc>
                <w:tcPr/>
                <w:p>
                  <w:pPr>
                    <w:pStyle w:val="Compact"/>
                    <w:jc w:val="center"/>
                  </w:pPr>
                  <w:r>
                    <w:t xml:space="preserve">5.33</w:t>
                  </w:r>
                </w:p>
              </w:tc>
              <w:tc>
                <w:tcPr/>
                <w:p>
                  <w:pPr>
                    <w:pStyle w:val="Compact"/>
                    <w:jc w:val="center"/>
                  </w:pPr>
                  <w:r>
                    <w:t xml:space="preserve">Inf</w:t>
                  </w:r>
                </w:p>
              </w:tc>
              <w:tc>
                <w:tcPr/>
                <w:p>
                  <w:pPr>
                    <w:pStyle w:val="Compact"/>
                    <w:jc w:val="center"/>
                  </w:pPr>
                  <w:r>
                    <w:t xml:space="preserve">12.31</w:t>
                  </w:r>
                </w:p>
              </w:tc>
              <w:tc>
                <w:tcPr/>
                <w:p>
                  <w:pPr>
                    <w:pStyle w:val="Compact"/>
                    <w:jc w:val="center"/>
                  </w:pPr>
                  <w:r>
                    <w:t xml:space="preserve">33.2</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23.2</w:t>
                  </w:r>
                </w:p>
              </w:tc>
              <w:tc>
                <w:tcPr/>
                <w:p>
                  <w:pPr>
                    <w:pStyle w:val="Compact"/>
                    <w:jc w:val="center"/>
                  </w:pPr>
                  <w:r>
                    <w:t xml:space="preserve">6.21</w:t>
                  </w:r>
                </w:p>
              </w:tc>
              <w:tc>
                <w:tcPr/>
                <w:p>
                  <w:pPr>
                    <w:pStyle w:val="Compact"/>
                    <w:jc w:val="center"/>
                  </w:pPr>
                  <w:r>
                    <w:t xml:space="preserve">Inf</w:t>
                  </w:r>
                </w:p>
              </w:tc>
              <w:tc>
                <w:tcPr/>
                <w:p>
                  <w:pPr>
                    <w:pStyle w:val="Compact"/>
                    <w:jc w:val="center"/>
                  </w:pPr>
                  <w:r>
                    <w:t xml:space="preserve">11.04</w:t>
                  </w:r>
                </w:p>
              </w:tc>
              <w:tc>
                <w:tcPr/>
                <w:p>
                  <w:pPr>
                    <w:pStyle w:val="Compact"/>
                    <w:jc w:val="center"/>
                  </w:pPr>
                  <w:r>
                    <w:t xml:space="preserve">35.4</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60.5</w:t>
                  </w:r>
                </w:p>
              </w:tc>
              <w:tc>
                <w:tcPr/>
                <w:p>
                  <w:pPr>
                    <w:pStyle w:val="Compact"/>
                    <w:jc w:val="center"/>
                  </w:pPr>
                  <w:r>
                    <w:t xml:space="preserve">16.55</w:t>
                  </w:r>
                </w:p>
              </w:tc>
              <w:tc>
                <w:tcPr/>
                <w:p>
                  <w:pPr>
                    <w:pStyle w:val="Compact"/>
                    <w:jc w:val="center"/>
                  </w:pPr>
                  <w:r>
                    <w:t xml:space="preserve">Inf</w:t>
                  </w:r>
                </w:p>
              </w:tc>
              <w:tc>
                <w:tcPr/>
                <w:p>
                  <w:pPr>
                    <w:pStyle w:val="Compact"/>
                    <w:jc w:val="center"/>
                  </w:pPr>
                  <w:r>
                    <w:t xml:space="preserve">28.05</w:t>
                  </w:r>
                </w:p>
              </w:tc>
              <w:tc>
                <w:tcPr/>
                <w:p>
                  <w:pPr>
                    <w:pStyle w:val="Compact"/>
                    <w:jc w:val="center"/>
                  </w:pPr>
                  <w:r>
                    <w:t xml:space="preserve">92.9</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2.7</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0.96</w:t>
                  </w:r>
                </w:p>
              </w:tc>
              <w:tc>
                <w:tcPr/>
                <w:p>
                  <w:pPr>
                    <w:pStyle w:val="Compact"/>
                    <w:jc w:val="center"/>
                  </w:pPr>
                  <w:r>
                    <w:t xml:space="preserve">4.4</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1.9</w:t>
                  </w:r>
                </w:p>
              </w:tc>
              <w:tc>
                <w:tcPr/>
                <w:p>
                  <w:pPr>
                    <w:pStyle w:val="Compact"/>
                    <w:jc w:val="center"/>
                  </w:pPr>
                  <w:r>
                    <w:t xml:space="preserve">0.61</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3.1</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3.2</w:t>
                  </w:r>
                </w:p>
              </w:tc>
              <w:tc>
                <w:tcPr/>
                <w:p>
                  <w:pPr>
                    <w:pStyle w:val="Compact"/>
                    <w:jc w:val="center"/>
                  </w:pPr>
                  <w:r>
                    <w:t xml:space="preserve">1.12</w:t>
                  </w:r>
                </w:p>
              </w:tc>
              <w:tc>
                <w:tcPr/>
                <w:p>
                  <w:pPr>
                    <w:pStyle w:val="Compact"/>
                    <w:jc w:val="center"/>
                  </w:pPr>
                  <w:r>
                    <w:t xml:space="preserve">Inf</w:t>
                  </w:r>
                </w:p>
              </w:tc>
              <w:tc>
                <w:tcPr/>
                <w:p>
                  <w:pPr>
                    <w:pStyle w:val="Compact"/>
                    <w:jc w:val="center"/>
                  </w:pPr>
                  <w:r>
                    <w:t xml:space="preserve">1.06</w:t>
                  </w:r>
                </w:p>
              </w:tc>
              <w:tc>
                <w:tcPr/>
                <w:p>
                  <w:pPr>
                    <w:pStyle w:val="Compact"/>
                    <w:jc w:val="center"/>
                  </w:pPr>
                  <w:r>
                    <w:t xml:space="preserve">5.4</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0.71</w:t>
                  </w:r>
                </w:p>
              </w:tc>
              <w:tc>
                <w:tcPr/>
                <w:p>
                  <w:pPr>
                    <w:pStyle w:val="Compact"/>
                    <w:jc w:val="center"/>
                  </w:pPr>
                  <w:r>
                    <w:t xml:space="preserve">Inf</w:t>
                  </w:r>
                </w:p>
              </w:tc>
              <w:tc>
                <w:tcPr/>
                <w:p>
                  <w:pPr>
                    <w:pStyle w:val="Compact"/>
                    <w:jc w:val="center"/>
                  </w:pPr>
                  <w:r>
                    <w:t xml:space="preserve">0.78</w:t>
                  </w:r>
                </w:p>
              </w:tc>
              <w:tc>
                <w:tcPr/>
                <w:p>
                  <w:pPr>
                    <w:pStyle w:val="Compact"/>
                    <w:jc w:val="center"/>
                  </w:pPr>
                  <w:r>
                    <w:t xml:space="preserve">3.6</w:t>
                  </w:r>
                </w:p>
              </w:tc>
            </w:tr>
            <w:tr>
              <w:tc>
                <w:tcPr/>
                <w:p>
                  <w:pPr>
                    <w:pStyle w:val="Compact"/>
                    <w:jc w:val="center"/>
                  </w:pPr>
                  <w:r>
                    <w:t xml:space="preserve">veg_diff</w:t>
                  </w:r>
                </w:p>
              </w:tc>
              <w:tc>
                <w:tcPr/>
                <w:p>
                  <w:pPr>
                    <w:pStyle w:val="Compact"/>
                    <w:jc w:val="center"/>
                  </w:pPr>
                  <w:r>
                    <w:t xml:space="preserve">gs</w:t>
                  </w:r>
                </w:p>
              </w:tc>
              <w:tc>
                <w:tcPr/>
                <w:p>
                  <w:pPr>
                    <w:pStyle w:val="Compact"/>
                    <w:jc w:val="center"/>
                  </w:pPr>
                  <w:r>
                    <w:t xml:space="preserve">29.6</w:t>
                  </w:r>
                </w:p>
              </w:tc>
              <w:tc>
                <w:tcPr/>
                <w:p>
                  <w:pPr>
                    <w:pStyle w:val="Compact"/>
                    <w:jc w:val="center"/>
                  </w:pPr>
                  <w:r>
                    <w:t xml:space="preserve">7.99</w:t>
                  </w:r>
                </w:p>
              </w:tc>
              <w:tc>
                <w:tcPr/>
                <w:p>
                  <w:pPr>
                    <w:pStyle w:val="Compact"/>
                    <w:jc w:val="center"/>
                  </w:pPr>
                  <w:r>
                    <w:t xml:space="preserve">Inf</w:t>
                  </w:r>
                </w:p>
              </w:tc>
              <w:tc>
                <w:tcPr/>
                <w:p>
                  <w:pPr>
                    <w:pStyle w:val="Compact"/>
                    <w:jc w:val="center"/>
                  </w:pPr>
                  <w:r>
                    <w:t xml:space="preserve">13.95</w:t>
                  </w:r>
                </w:p>
              </w:tc>
              <w:tc>
                <w:tcPr/>
                <w:p>
                  <w:pPr>
                    <w:pStyle w:val="Compact"/>
                    <w:jc w:val="center"/>
                  </w:pPr>
                  <w:r>
                    <w:t xml:space="preserve">45.3</w:t>
                  </w:r>
                </w:p>
              </w:tc>
            </w:tr>
            <w:tr>
              <w:tc>
                <w:tcPr/>
                <w:p>
                  <w:pPr>
                    <w:pStyle w:val="Compact"/>
                    <w:jc w:val="center"/>
                  </w:pPr>
                  <w:r>
                    <w:t xml:space="preserve">veg_diff</w:t>
                  </w:r>
                </w:p>
              </w:tc>
              <w:tc>
                <w:tcPr/>
                <w:p>
                  <w:pPr>
                    <w:pStyle w:val="Compact"/>
                    <w:jc w:val="center"/>
                  </w:pPr>
                  <w:r>
                    <w:t xml:space="preserve">ld</w:t>
                  </w:r>
                </w:p>
              </w:tc>
              <w:tc>
                <w:tcPr/>
                <w:p>
                  <w:pPr>
                    <w:pStyle w:val="Compact"/>
                    <w:jc w:val="center"/>
                  </w:pPr>
                  <w:r>
                    <w:t xml:space="preserve">17.2</w:t>
                  </w:r>
                </w:p>
              </w:tc>
              <w:tc>
                <w:tcPr/>
                <w:p>
                  <w:pPr>
                    <w:pStyle w:val="Compact"/>
                    <w:jc w:val="center"/>
                  </w:pPr>
                  <w:r>
                    <w:t xml:space="preserve">4.22</w:t>
                  </w:r>
                </w:p>
              </w:tc>
              <w:tc>
                <w:tcPr/>
                <w:p>
                  <w:pPr>
                    <w:pStyle w:val="Compact"/>
                    <w:jc w:val="center"/>
                  </w:pPr>
                  <w:r>
                    <w:t xml:space="preserve">Inf</w:t>
                  </w:r>
                </w:p>
              </w:tc>
              <w:tc>
                <w:tcPr/>
                <w:p>
                  <w:pPr>
                    <w:pStyle w:val="Compact"/>
                    <w:jc w:val="center"/>
                  </w:pPr>
                  <w:r>
                    <w:t xml:space="preserve">8.89</w:t>
                  </w:r>
                </w:p>
              </w:tc>
              <w:tc>
                <w:tcPr/>
                <w:p>
                  <w:pPr>
                    <w:pStyle w:val="Compact"/>
                    <w:jc w:val="center"/>
                  </w:pPr>
                  <w:r>
                    <w:t xml:space="preserve">25.4</w:t>
                  </w:r>
                </w:p>
              </w:tc>
            </w:tr>
            <w:tr>
              <w:tc>
                <w:tcPr/>
                <w:p>
                  <w:pPr>
                    <w:pStyle w:val="Compact"/>
                    <w:jc w:val="center"/>
                  </w:pPr>
                  <w:r>
                    <w:t xml:space="preserve">veg_diff</w:t>
                  </w:r>
                </w:p>
              </w:tc>
              <w:tc>
                <w:tcPr/>
                <w:p>
                  <w:pPr>
                    <w:pStyle w:val="Compact"/>
                    <w:jc w:val="center"/>
                  </w:pPr>
                  <w:r>
                    <w:t xml:space="preserve">ha</w:t>
                  </w:r>
                </w:p>
              </w:tc>
              <w:tc>
                <w:tcPr/>
                <w:p>
                  <w:pPr>
                    <w:pStyle w:val="Compact"/>
                    <w:jc w:val="center"/>
                  </w:pPr>
                  <w:r>
                    <w:t xml:space="preserve">10.6</w:t>
                  </w:r>
                </w:p>
              </w:tc>
              <w:tc>
                <w:tcPr/>
                <w:p>
                  <w:pPr>
                    <w:pStyle w:val="Compact"/>
                    <w:jc w:val="center"/>
                  </w:pPr>
                  <w:r>
                    <w:t xml:space="preserve">2.98</w:t>
                  </w:r>
                </w:p>
              </w:tc>
              <w:tc>
                <w:tcPr/>
                <w:p>
                  <w:pPr>
                    <w:pStyle w:val="Compact"/>
                    <w:jc w:val="center"/>
                  </w:pPr>
                  <w:r>
                    <w:t xml:space="preserve">Inf</w:t>
                  </w:r>
                </w:p>
              </w:tc>
              <w:tc>
                <w:tcPr/>
                <w:p>
                  <w:pPr>
                    <w:pStyle w:val="Compact"/>
                    <w:jc w:val="center"/>
                  </w:pPr>
                  <w:r>
                    <w:t xml:space="preserve">4.74</w:t>
                  </w:r>
                </w:p>
              </w:tc>
              <w:tc>
                <w:tcPr/>
                <w:p>
                  <w:pPr>
                    <w:pStyle w:val="Compact"/>
                    <w:jc w:val="center"/>
                  </w:pPr>
                  <w:r>
                    <w:t xml:space="preserve">16.4</w:t>
                  </w:r>
                </w:p>
              </w:tc>
            </w:tr>
            <w:tr>
              <w:tc>
                <w:tcPr/>
                <w:p>
                  <w:pPr>
                    <w:pStyle w:val="Compact"/>
                    <w:jc w:val="center"/>
                  </w:pPr>
                  <w:r>
                    <w:t xml:space="preserve">veg_diff</w:t>
                  </w:r>
                </w:p>
              </w:tc>
              <w:tc>
                <w:tcPr/>
                <w:p>
                  <w:pPr>
                    <w:pStyle w:val="Compact"/>
                    <w:jc w:val="center"/>
                  </w:pPr>
                  <w:r>
                    <w:t xml:space="preserve">hd</w:t>
                  </w:r>
                </w:p>
              </w:tc>
              <w:tc>
                <w:tcPr/>
                <w:p>
                  <w:pPr>
                    <w:pStyle w:val="Compact"/>
                    <w:jc w:val="center"/>
                  </w:pPr>
                  <w:r>
                    <w:t xml:space="preserve">11.8</w:t>
                  </w:r>
                </w:p>
              </w:tc>
              <w:tc>
                <w:tcPr/>
                <w:p>
                  <w:pPr>
                    <w:pStyle w:val="Compact"/>
                    <w:jc w:val="center"/>
                  </w:pPr>
                  <w:r>
                    <w:t xml:space="preserve">3.02</w:t>
                  </w:r>
                </w:p>
              </w:tc>
              <w:tc>
                <w:tcPr/>
                <w:p>
                  <w:pPr>
                    <w:pStyle w:val="Compact"/>
                    <w:jc w:val="center"/>
                  </w:pPr>
                  <w:r>
                    <w:t xml:space="preserve">Inf</w:t>
                  </w:r>
                </w:p>
              </w:tc>
              <w:tc>
                <w:tcPr/>
                <w:p>
                  <w:pPr>
                    <w:pStyle w:val="Compact"/>
                    <w:jc w:val="center"/>
                  </w:pPr>
                  <w:r>
                    <w:t xml:space="preserve">5.91</w:t>
                  </w:r>
                </w:p>
              </w:tc>
              <w:tc>
                <w:tcPr/>
                <w:p>
                  <w:pPr>
                    <w:pStyle w:val="Compact"/>
                    <w:jc w:val="center"/>
                  </w:pPr>
                  <w:r>
                    <w:t xml:space="preserve">17.7</w:t>
                  </w:r>
                </w:p>
              </w:tc>
            </w:tr>
          </w:tbl>
          <w:bookmarkEnd w:id="10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0" w:name="tbl-fuel-post-pct-compare"/>
          <w:p>
            <w:pPr>
              <w:jc w:val="center"/>
            </w:pPr>
            <w:pPr>
              <w:jc w:val="left"/>
              <w:spacing w:before="200"/>
              <w:pStyle w:val="ImageCaption"/>
            </w:pPr>
            <w:r>
              <w:t xml:space="preserve">Table 3.15: Pairwise comparisons of treatments for six fuel classes after pct. P-values were adjusted for multiple comparisons using the Tukey method and are based on normal approximations.</w:t>
            </w:r>
          </w:p>
          <w:tbl>
            <w:tblPr>
              <w:tblStyle w:val="Table"/>
              <w:tblW w:type="pct" w:w="3958"/>
              <w:tblLayout w:type="fixed"/>
              <w:tblLook w:firstRow="1" w:lastRow="0" w:firstColumn="0" w:lastColumn="0" w:noHBand="0" w:noVBand="0" w:val="0020"/>
            </w:tblPr>
            <w:tblGrid>
              <w:gridCol w:w="121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5.94</w:t>
                  </w:r>
                </w:p>
              </w:tc>
              <w:tc>
                <w:tcPr/>
                <w:p>
                  <w:pPr>
                    <w:pStyle w:val="Compact"/>
                    <w:jc w:val="center"/>
                  </w:pPr>
                  <w:r>
                    <w:t xml:space="preserve">1.46</w:t>
                  </w:r>
                </w:p>
              </w:tc>
              <w:tc>
                <w:tcPr/>
                <w:p>
                  <w:pPr>
                    <w:pStyle w:val="Compact"/>
                    <w:jc w:val="center"/>
                  </w:pPr>
                  <w:r>
                    <w:t xml:space="preserve">Inf</w:t>
                  </w:r>
                </w:p>
              </w:tc>
              <w:tc>
                <w:tcPr/>
                <w:p>
                  <w:pPr>
                    <w:pStyle w:val="Compact"/>
                    <w:jc w:val="center"/>
                  </w:pPr>
                  <w:r>
                    <w:t xml:space="preserve">0.00026</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5.15</w:t>
                  </w:r>
                </w:p>
              </w:tc>
              <w:tc>
                <w:tcPr/>
                <w:p>
                  <w:pPr>
                    <w:pStyle w:val="Compact"/>
                    <w:jc w:val="center"/>
                  </w:pPr>
                  <w:r>
                    <w:t xml:space="preserve">1.43</w:t>
                  </w:r>
                </w:p>
              </w:tc>
              <w:tc>
                <w:tcPr/>
                <w:p>
                  <w:pPr>
                    <w:pStyle w:val="Compact"/>
                    <w:jc w:val="center"/>
                  </w:pPr>
                  <w:r>
                    <w:t xml:space="preserve">Inf</w:t>
                  </w:r>
                </w:p>
              </w:tc>
              <w:tc>
                <w:tcPr/>
                <w:p>
                  <w:pPr>
                    <w:pStyle w:val="Compact"/>
                    <w:jc w:val="center"/>
                  </w:pPr>
                  <w:r>
                    <w:t xml:space="preserve">0.00172</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1.42</w:t>
                  </w:r>
                </w:p>
              </w:tc>
              <w:tc>
                <w:tcPr/>
                <w:p>
                  <w:pPr>
                    <w:pStyle w:val="Compact"/>
                    <w:jc w:val="center"/>
                  </w:pPr>
                  <w:r>
                    <w:t xml:space="preserve">0.43</w:t>
                  </w:r>
                </w:p>
              </w:tc>
              <w:tc>
                <w:tcPr/>
                <w:p>
                  <w:pPr>
                    <w:pStyle w:val="Compact"/>
                    <w:jc w:val="center"/>
                  </w:pPr>
                  <w:r>
                    <w:t xml:space="preserve">Inf</w:t>
                  </w:r>
                </w:p>
              </w:tc>
              <w:tc>
                <w:tcPr/>
                <w:p>
                  <w:pPr>
                    <w:pStyle w:val="Compact"/>
                    <w:jc w:val="center"/>
                  </w:pPr>
                  <w:r>
                    <w:t xml:space="preserve">0.00585</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1.24</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0.00889</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-0.83</w:t>
                  </w:r>
                </w:p>
              </w:tc>
              <w:tc>
                <w:tcPr/>
                <w:p>
                  <w:pPr>
                    <w:pStyle w:val="Compact"/>
                    <w:jc w:val="center"/>
                  </w:pPr>
                  <w:r>
                    <w:t xml:space="preserve">0.26</w:t>
                  </w:r>
                </w:p>
              </w:tc>
              <w:tc>
                <w:tcPr/>
                <w:p>
                  <w:pPr>
                    <w:pStyle w:val="Compact"/>
                    <w:jc w:val="center"/>
                  </w:pPr>
                  <w:r>
                    <w:t xml:space="preserve">Inf</w:t>
                  </w:r>
                </w:p>
              </w:tc>
              <w:tc>
                <w:tcPr/>
                <w:p>
                  <w:pPr>
                    <w:pStyle w:val="Compact"/>
                    <w:jc w:val="center"/>
                  </w:pPr>
                  <w:r>
                    <w:t xml:space="preserve">0.00919</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11.69</w:t>
                  </w:r>
                </w:p>
              </w:tc>
              <w:tc>
                <w:tcPr/>
                <w:p>
                  <w:pPr>
                    <w:pStyle w:val="Compact"/>
                    <w:jc w:val="center"/>
                  </w:pPr>
                  <w:r>
                    <w:t xml:space="preserve">4.16</w:t>
                  </w:r>
                </w:p>
              </w:tc>
              <w:tc>
                <w:tcPr/>
                <w:p>
                  <w:pPr>
                    <w:pStyle w:val="Compact"/>
                    <w:jc w:val="center"/>
                  </w:pPr>
                  <w:r>
                    <w:t xml:space="preserve">Inf</w:t>
                  </w:r>
                </w:p>
              </w:tc>
              <w:tc>
                <w:tcPr/>
                <w:p>
                  <w:pPr>
                    <w:pStyle w:val="Compact"/>
                    <w:jc w:val="center"/>
                  </w:pPr>
                  <w:r>
                    <w:t xml:space="preserve">0.02573</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2.43</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0.02637</w:t>
                  </w:r>
                </w:p>
              </w:tc>
            </w:tr>
            <w:tr>
              <w:tc>
                <w:tcPr/>
                <w:p>
                  <w:pPr>
                    <w:pStyle w:val="Compact"/>
                    <w:jc w:val="center"/>
                  </w:pPr>
                  <w:r>
                    <w:t xml:space="preserve">veg_diff</w:t>
                  </w:r>
                </w:p>
              </w:tc>
              <w:tc>
                <w:tcPr/>
                <w:p>
                  <w:pPr>
                    <w:pStyle w:val="Compact"/>
                    <w:jc w:val="center"/>
                  </w:pPr>
                  <w:r>
                    <w:t xml:space="preserve">gs - ha</w:t>
                  </w:r>
                </w:p>
              </w:tc>
              <w:tc>
                <w:tcPr/>
                <w:p>
                  <w:pPr>
                    <w:pStyle w:val="Compact"/>
                    <w:jc w:val="center"/>
                  </w:pPr>
                  <w:r>
                    <w:t xml:space="preserve">19.03</w:t>
                  </w:r>
                </w:p>
              </w:tc>
              <w:tc>
                <w:tcPr/>
                <w:p>
                  <w:pPr>
                    <w:pStyle w:val="Compact"/>
                    <w:jc w:val="center"/>
                  </w:pPr>
                  <w:r>
                    <w:t xml:space="preserve">7.48</w:t>
                  </w:r>
                </w:p>
              </w:tc>
              <w:tc>
                <w:tcPr/>
                <w:p>
                  <w:pPr>
                    <w:pStyle w:val="Compact"/>
                    <w:jc w:val="center"/>
                  </w:pPr>
                  <w:r>
                    <w:t xml:space="preserve">Inf</w:t>
                  </w:r>
                </w:p>
              </w:tc>
              <w:tc>
                <w:tcPr/>
                <w:p>
                  <w:pPr>
                    <w:pStyle w:val="Compact"/>
                    <w:jc w:val="center"/>
                  </w:pPr>
                  <w:r>
                    <w:t xml:space="preserve">0.05357</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3.5</w:t>
                  </w:r>
                </w:p>
              </w:tc>
              <w:tc>
                <w:tcPr/>
                <w:p>
                  <w:pPr>
                    <w:pStyle w:val="Compact"/>
                    <w:jc w:val="center"/>
                  </w:pPr>
                  <w:r>
                    <w:t xml:space="preserve">1.41</w:t>
                  </w:r>
                </w:p>
              </w:tc>
              <w:tc>
                <w:tcPr/>
                <w:p>
                  <w:pPr>
                    <w:pStyle w:val="Compact"/>
                    <w:jc w:val="center"/>
                  </w:pPr>
                  <w:r>
                    <w:t xml:space="preserve">Inf</w:t>
                  </w:r>
                </w:p>
              </w:tc>
              <w:tc>
                <w:tcPr/>
                <w:p>
                  <w:pPr>
                    <w:pStyle w:val="Compact"/>
                    <w:jc w:val="center"/>
                  </w:pPr>
                  <w:r>
                    <w:t xml:space="preserve">0.06286</w:t>
                  </w:r>
                </w:p>
              </w:tc>
            </w:tr>
            <w:tr>
              <w:tc>
                <w:tcPr/>
                <w:p>
                  <w:pPr>
                    <w:pStyle w:val="Compact"/>
                    <w:jc w:val="center"/>
                  </w:pPr>
                  <w:r>
                    <w:t xml:space="preserve">veg_diff</w:t>
                  </w:r>
                </w:p>
              </w:tc>
              <w:tc>
                <w:tcPr/>
                <w:p>
                  <w:pPr>
                    <w:pStyle w:val="Compact"/>
                    <w:jc w:val="center"/>
                  </w:pPr>
                  <w:r>
                    <w:t xml:space="preserve">gs - hd</w:t>
                  </w:r>
                </w:p>
              </w:tc>
              <w:tc>
                <w:tcPr/>
                <w:p>
                  <w:pPr>
                    <w:pStyle w:val="Compact"/>
                    <w:jc w:val="center"/>
                  </w:pPr>
                  <w:r>
                    <w:t xml:space="preserve">17.78</w:t>
                  </w:r>
                </w:p>
              </w:tc>
              <w:tc>
                <w:tcPr/>
                <w:p>
                  <w:pPr>
                    <w:pStyle w:val="Compact"/>
                    <w:jc w:val="center"/>
                  </w:pPr>
                  <w:r>
                    <w:t xml:space="preserve">7.55</w:t>
                  </w:r>
                </w:p>
              </w:tc>
              <w:tc>
                <w:tcPr/>
                <w:p>
                  <w:pPr>
                    <w:pStyle w:val="Compact"/>
                    <w:jc w:val="center"/>
                  </w:pPr>
                  <w:r>
                    <w:t xml:space="preserve">Inf</w:t>
                  </w:r>
                </w:p>
              </w:tc>
              <w:tc>
                <w:tcPr/>
                <w:p>
                  <w:pPr>
                    <w:pStyle w:val="Compact"/>
                    <w:jc w:val="center"/>
                  </w:pPr>
                  <w:r>
                    <w:t xml:space="preserve">0.08602</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-37.71</w:t>
                  </w:r>
                </w:p>
              </w:tc>
              <w:tc>
                <w:tcPr/>
                <w:p>
                  <w:pPr>
                    <w:pStyle w:val="Compact"/>
                    <w:jc w:val="center"/>
                  </w:pPr>
                  <w:r>
                    <w:t xml:space="preserve">17.15</w:t>
                  </w:r>
                </w:p>
              </w:tc>
              <w:tc>
                <w:tcPr/>
                <w:p>
                  <w:pPr>
                    <w:pStyle w:val="Compact"/>
                    <w:jc w:val="center"/>
                  </w:pPr>
                  <w:r>
                    <w:t xml:space="preserve">Inf</w:t>
                  </w:r>
                </w:p>
              </w:tc>
              <w:tc>
                <w:tcPr/>
                <w:p>
                  <w:pPr>
                    <w:pStyle w:val="Compact"/>
                    <w:jc w:val="center"/>
                  </w:pPr>
                  <w:r>
                    <w:t xml:space="preserve">0.12359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-37.27</w:t>
                  </w:r>
                </w:p>
              </w:tc>
              <w:tc>
                <w:tcPr/>
                <w:p>
                  <w:pPr>
                    <w:pStyle w:val="Compact"/>
                    <w:jc w:val="center"/>
                  </w:pPr>
                  <w:r>
                    <w:t xml:space="preserve">17.43</w:t>
                  </w:r>
                </w:p>
              </w:tc>
              <w:tc>
                <w:tcPr/>
                <w:p>
                  <w:pPr>
                    <w:pStyle w:val="Compact"/>
                    <w:jc w:val="center"/>
                  </w:pPr>
                  <w:r>
                    <w:t xml:space="preserve">Inf</w:t>
                  </w:r>
                </w:p>
              </w:tc>
              <w:tc>
                <w:tcPr/>
                <w:p>
                  <w:pPr>
                    <w:pStyle w:val="Compact"/>
                    <w:jc w:val="center"/>
                  </w:pPr>
                  <w:r>
                    <w:t xml:space="preserve">0.14104</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5.75</w:t>
                  </w:r>
                </w:p>
              </w:tc>
              <w:tc>
                <w:tcPr/>
                <w:p>
                  <w:pPr>
                    <w:pStyle w:val="Compact"/>
                    <w:jc w:val="center"/>
                  </w:pPr>
                  <w:r>
                    <w:t xml:space="preserve">2.75</w:t>
                  </w:r>
                </w:p>
              </w:tc>
              <w:tc>
                <w:tcPr/>
                <w:p>
                  <w:pPr>
                    <w:pStyle w:val="Compact"/>
                    <w:jc w:val="center"/>
                  </w:pPr>
                  <w:r>
                    <w:t xml:space="preserve">Inf</w:t>
                  </w:r>
                </w:p>
              </w:tc>
              <w:tc>
                <w:tcPr/>
                <w:p>
                  <w:pPr>
                    <w:pStyle w:val="Compact"/>
                    <w:jc w:val="center"/>
                  </w:pPr>
                  <w:r>
                    <w:t xml:space="preserve">0.1565</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8.59</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0.17315</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1.65</w:t>
                  </w:r>
                </w:p>
              </w:tc>
              <w:tc>
                <w:tcPr/>
                <w:p>
                  <w:pPr>
                    <w:pStyle w:val="Compact"/>
                    <w:jc w:val="center"/>
                  </w:pPr>
                  <w:r>
                    <w:t xml:space="preserve">0.88</w:t>
                  </w:r>
                </w:p>
              </w:tc>
              <w:tc>
                <w:tcPr/>
                <w:p>
                  <w:pPr>
                    <w:pStyle w:val="Compact"/>
                    <w:jc w:val="center"/>
                  </w:pPr>
                  <w:r>
                    <w:t xml:space="preserve">Inf</w:t>
                  </w:r>
                </w:p>
              </w:tc>
              <w:tc>
                <w:tcPr/>
                <w:p>
                  <w:pPr>
                    <w:pStyle w:val="Compact"/>
                    <w:jc w:val="center"/>
                  </w:pPr>
                  <w:r>
                    <w:t xml:space="preserve">0.24322</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21.12</w:t>
                  </w:r>
                </w:p>
              </w:tc>
              <w:tc>
                <w:tcPr/>
                <w:p>
                  <w:pPr>
                    <w:pStyle w:val="Compact"/>
                    <w:jc w:val="center"/>
                  </w:pPr>
                  <w:r>
                    <w:t xml:space="preserve">11.6</w:t>
                  </w:r>
                </w:p>
              </w:tc>
              <w:tc>
                <w:tcPr/>
                <w:p>
                  <w:pPr>
                    <w:pStyle w:val="Compact"/>
                    <w:jc w:val="center"/>
                  </w:pPr>
                  <w:r>
                    <w:t xml:space="preserve">Inf</w:t>
                  </w:r>
                </w:p>
              </w:tc>
              <w:tc>
                <w:tcPr/>
                <w:p>
                  <w:pPr>
                    <w:pStyle w:val="Compact"/>
                    <w:jc w:val="center"/>
                  </w:pPr>
                  <w:r>
                    <w:t xml:space="preserve">0.26381</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20.67</w:t>
                  </w:r>
                </w:p>
              </w:tc>
              <w:tc>
                <w:tcPr/>
                <w:p>
                  <w:pPr>
                    <w:pStyle w:val="Compact"/>
                    <w:jc w:val="center"/>
                  </w:pPr>
                  <w:r>
                    <w:t xml:space="preserve">12.01</w:t>
                  </w:r>
                </w:p>
              </w:tc>
              <w:tc>
                <w:tcPr/>
                <w:p>
                  <w:pPr>
                    <w:pStyle w:val="Compact"/>
                    <w:jc w:val="center"/>
                  </w:pPr>
                  <w:r>
                    <w:t xml:space="preserve">Inf</w:t>
                  </w:r>
                </w:p>
              </w:tc>
              <w:tc>
                <w:tcPr/>
                <w:p>
                  <w:pPr>
                    <w:pStyle w:val="Compact"/>
                    <w:jc w:val="center"/>
                  </w:pPr>
                  <w:r>
                    <w:t xml:space="preserve">0.31242</w:t>
                  </w:r>
                </w:p>
              </w:tc>
            </w:tr>
            <w:tr>
              <w:tc>
                <w:tcPr/>
                <w:p>
                  <w:pPr>
                    <w:pStyle w:val="Compact"/>
                    <w:jc w:val="center"/>
                  </w:pPr>
                  <w:r>
                    <w:t xml:space="preserve">veg_diff</w:t>
                  </w:r>
                </w:p>
              </w:tc>
              <w:tc>
                <w:tcPr/>
                <w:p>
                  <w:pPr>
                    <w:pStyle w:val="Compact"/>
                    <w:jc w:val="center"/>
                  </w:pPr>
                  <w:r>
                    <w:t xml:space="preserve">gs - ld</w:t>
                  </w:r>
                </w:p>
              </w:tc>
              <w:tc>
                <w:tcPr/>
                <w:p>
                  <w:pPr>
                    <w:pStyle w:val="Compact"/>
                    <w:jc w:val="center"/>
                  </w:pPr>
                  <w:r>
                    <w:t xml:space="preserve">12.44</w:t>
                  </w:r>
                </w:p>
              </w:tc>
              <w:tc>
                <w:tcPr/>
                <w:p>
                  <w:pPr>
                    <w:pStyle w:val="Compact"/>
                    <w:jc w:val="center"/>
                  </w:pPr>
                  <w:r>
                    <w:t xml:space="preserve">7.67</w:t>
                  </w:r>
                </w:p>
              </w:tc>
              <w:tc>
                <w:tcPr/>
                <w:p>
                  <w:pPr>
                    <w:pStyle w:val="Compact"/>
                    <w:jc w:val="center"/>
                  </w:pPr>
                  <w:r>
                    <w:t xml:space="preserve">Inf</w:t>
                  </w:r>
                </w:p>
              </w:tc>
              <w:tc>
                <w:tcPr/>
                <w:p>
                  <w:pPr>
                    <w:pStyle w:val="Compact"/>
                    <w:jc w:val="center"/>
                  </w:pPr>
                  <w:r>
                    <w:t xml:space="preserve">0.36644</w:t>
                  </w:r>
                </w:p>
              </w:tc>
            </w:tr>
            <w:tr>
              <w:tc>
                <w:tcPr/>
                <w:p>
                  <w:pPr>
                    <w:pStyle w:val="Compact"/>
                    <w:jc w:val="center"/>
                  </w:pPr>
                  <w:r>
                    <w:t xml:space="preserve">veg_diff</w:t>
                  </w:r>
                </w:p>
              </w:tc>
              <w:tc>
                <w:tcPr/>
                <w:p>
                  <w:pPr>
                    <w:pStyle w:val="Compact"/>
                    <w:jc w:val="center"/>
                  </w:pPr>
                  <w:r>
                    <w:t xml:space="preserve">ld - ha</w:t>
                  </w:r>
                </w:p>
              </w:tc>
              <w:tc>
                <w:tcPr/>
                <w:p>
                  <w:pPr>
                    <w:pStyle w:val="Compact"/>
                    <w:jc w:val="center"/>
                  </w:pPr>
                  <w:r>
                    <w:t xml:space="preserve">6.59</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0.41898</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0.59</w:t>
                  </w:r>
                </w:p>
              </w:tc>
              <w:tc>
                <w:tcPr/>
                <w:p>
                  <w:pPr>
                    <w:pStyle w:val="Compact"/>
                    <w:jc w:val="center"/>
                  </w:pPr>
                  <w:r>
                    <w:t xml:space="preserve">0.42</w:t>
                  </w:r>
                </w:p>
              </w:tc>
              <w:tc>
                <w:tcPr/>
                <w:p>
                  <w:pPr>
                    <w:pStyle w:val="Compact"/>
                    <w:jc w:val="center"/>
                  </w:pPr>
                  <w:r>
                    <w:t xml:space="preserve">Inf</w:t>
                  </w:r>
                </w:p>
              </w:tc>
              <w:tc>
                <w:tcPr/>
                <w:p>
                  <w:pPr>
                    <w:pStyle w:val="Compact"/>
                    <w:jc w:val="center"/>
                  </w:pPr>
                  <w:r>
                    <w:t xml:space="preserve">0.49237</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5.95</w:t>
                  </w:r>
                </w:p>
              </w:tc>
              <w:tc>
                <w:tcPr/>
                <w:p>
                  <w:pPr>
                    <w:pStyle w:val="Compact"/>
                    <w:jc w:val="center"/>
                  </w:pPr>
                  <w:r>
                    <w:t xml:space="preserve">4.31</w:t>
                  </w:r>
                </w:p>
              </w:tc>
              <w:tc>
                <w:tcPr/>
                <w:p>
                  <w:pPr>
                    <w:pStyle w:val="Compact"/>
                    <w:jc w:val="center"/>
                  </w:pPr>
                  <w:r>
                    <w:t xml:space="preserve">Inf</w:t>
                  </w:r>
                </w:p>
              </w:tc>
              <w:tc>
                <w:tcPr/>
                <w:p>
                  <w:pPr>
                    <w:pStyle w:val="Compact"/>
                    <w:jc w:val="center"/>
                  </w:pPr>
                  <w:r>
                    <w:t xml:space="preserve">0.51297</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-1.35</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0.51617</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3.1</w:t>
                  </w:r>
                </w:p>
              </w:tc>
              <w:tc>
                <w:tcPr/>
                <w:p>
                  <w:pPr>
                    <w:pStyle w:val="Compact"/>
                    <w:jc w:val="center"/>
                  </w:pPr>
                  <w:r>
                    <w:t xml:space="preserve">2.32</w:t>
                  </w:r>
                </w:p>
              </w:tc>
              <w:tc>
                <w:tcPr/>
                <w:p>
                  <w:pPr>
                    <w:pStyle w:val="Compact"/>
                    <w:jc w:val="center"/>
                  </w:pPr>
                  <w:r>
                    <w:t xml:space="preserve">Inf</w:t>
                  </w:r>
                </w:p>
              </w:tc>
              <w:tc>
                <w:tcPr/>
                <w:p>
                  <w:pPr>
                    <w:pStyle w:val="Compact"/>
                    <w:jc w:val="center"/>
                  </w:pPr>
                  <w:r>
                    <w:t xml:space="preserve">0.54089</w:t>
                  </w:r>
                </w:p>
              </w:tc>
            </w:tr>
            <w:tr>
              <w:tc>
                <w:tcPr/>
                <w:p>
                  <w:pPr>
                    <w:pStyle w:val="Compact"/>
                    <w:jc w:val="center"/>
                  </w:pPr>
                  <w:r>
                    <w:t xml:space="preserve">veg_diff</w:t>
                  </w:r>
                </w:p>
              </w:tc>
              <w:tc>
                <w:tcPr/>
                <w:p>
                  <w:pPr>
                    <w:pStyle w:val="Compact"/>
                    <w:jc w:val="center"/>
                  </w:pPr>
                  <w:r>
                    <w:t xml:space="preserve">ld - hd</w:t>
                  </w:r>
                </w:p>
              </w:tc>
              <w:tc>
                <w:tcPr/>
                <w:p>
                  <w:pPr>
                    <w:pStyle w:val="Compact"/>
                    <w:jc w:val="center"/>
                  </w:pPr>
                  <w:r>
                    <w:t xml:space="preserve">5.35</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0.59869</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0.79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0.60281</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1.07</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0.68792</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0.41</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0.6903</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0.77</w:t>
                  </w:r>
                </w:p>
              </w:tc>
              <w:tc>
                <w:tcPr/>
                <w:p>
                  <w:pPr>
                    <w:pStyle w:val="Compact"/>
                    <w:jc w:val="center"/>
                  </w:pPr>
                  <w:r>
                    <w:t xml:space="preserve">0.76</w:t>
                  </w:r>
                </w:p>
              </w:tc>
              <w:tc>
                <w:tcPr/>
                <w:p>
                  <w:pPr>
                    <w:pStyle w:val="Compact"/>
                    <w:jc w:val="center"/>
                  </w:pPr>
                  <w:r>
                    <w:t xml:space="preserve">Inf</w:t>
                  </w:r>
                </w:p>
              </w:tc>
              <w:tc>
                <w:tcPr/>
                <w:p>
                  <w:pPr>
                    <w:pStyle w:val="Compact"/>
                    <w:jc w:val="center"/>
                  </w:pPr>
                  <w:r>
                    <w:t xml:space="preserve">0.7434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2.65</w:t>
                  </w:r>
                </w:p>
              </w:tc>
              <w:tc>
                <w:tcPr/>
                <w:p>
                  <w:pPr>
                    <w:pStyle w:val="Compact"/>
                    <w:jc w:val="center"/>
                  </w:pPr>
                  <w:r>
                    <w:t xml:space="preserve">2.91</w:t>
                  </w:r>
                </w:p>
              </w:tc>
              <w:tc>
                <w:tcPr/>
                <w:p>
                  <w:pPr>
                    <w:pStyle w:val="Compact"/>
                    <w:jc w:val="center"/>
                  </w:pPr>
                  <w:r>
                    <w:t xml:space="preserve">Inf</w:t>
                  </w:r>
                </w:p>
              </w:tc>
              <w:tc>
                <w:tcPr/>
                <w:p>
                  <w:pPr>
                    <w:pStyle w:val="Compact"/>
                    <w:jc w:val="center"/>
                  </w:pPr>
                  <w:r>
                    <w:t xml:space="preserve">0.80002</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-16.6</w:t>
                  </w:r>
                </w:p>
              </w:tc>
              <w:tc>
                <w:tcPr/>
                <w:p>
                  <w:pPr>
                    <w:pStyle w:val="Compact"/>
                    <w:jc w:val="center"/>
                  </w:pPr>
                  <w:r>
                    <w:t xml:space="preserve">19.3</w:t>
                  </w:r>
                </w:p>
              </w:tc>
              <w:tc>
                <w:tcPr/>
                <w:p>
                  <w:pPr>
                    <w:pStyle w:val="Compact"/>
                    <w:jc w:val="center"/>
                  </w:pPr>
                  <w:r>
                    <w:t xml:space="preserve">Inf</w:t>
                  </w:r>
                </w:p>
              </w:tc>
              <w:tc>
                <w:tcPr/>
                <w:p>
                  <w:pPr>
                    <w:pStyle w:val="Compact"/>
                    <w:jc w:val="center"/>
                  </w:pPr>
                  <w:r>
                    <w:t xml:space="preserve">0.82556</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0.49</w:t>
                  </w:r>
                </w:p>
              </w:tc>
              <w:tc>
                <w:tcPr/>
                <w:p>
                  <w:pPr>
                    <w:pStyle w:val="Compact"/>
                    <w:jc w:val="center"/>
                  </w:pPr>
                  <w:r>
                    <w:t xml:space="preserve">0.8</w:t>
                  </w:r>
                </w:p>
              </w:tc>
              <w:tc>
                <w:tcPr/>
                <w:p>
                  <w:pPr>
                    <w:pStyle w:val="Compact"/>
                    <w:jc w:val="center"/>
                  </w:pPr>
                  <w:r>
                    <w:t xml:space="preserve">Inf</w:t>
                  </w:r>
                </w:p>
              </w:tc>
              <w:tc>
                <w:tcPr/>
                <w:p>
                  <w:pPr>
                    <w:pStyle w:val="Compact"/>
                    <w:jc w:val="center"/>
                  </w:pPr>
                  <w:r>
                    <w:t xml:space="preserve">0.92729</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-0.58</w:t>
                  </w:r>
                </w:p>
              </w:tc>
              <w:tc>
                <w:tcPr/>
                <w:p>
                  <w:pPr>
                    <w:pStyle w:val="Compact"/>
                    <w:jc w:val="center"/>
                  </w:pPr>
                  <w:r>
                    <w:t xml:space="preserve">1.04</w:t>
                  </w:r>
                </w:p>
              </w:tc>
              <w:tc>
                <w:tcPr/>
                <w:p>
                  <w:pPr>
                    <w:pStyle w:val="Compact"/>
                    <w:jc w:val="center"/>
                  </w:pPr>
                  <w:r>
                    <w:t xml:space="preserve">Inf</w:t>
                  </w:r>
                </w:p>
              </w:tc>
              <w:tc>
                <w:tcPr/>
                <w:p>
                  <w:pPr>
                    <w:pStyle w:val="Compact"/>
                    <w:jc w:val="center"/>
                  </w:pPr>
                  <w:r>
                    <w:t xml:space="preserve">0.94512</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-0.28</w:t>
                  </w:r>
                </w:p>
              </w:tc>
              <w:tc>
                <w:tcPr/>
                <w:p>
                  <w:pPr>
                    <w:pStyle w:val="Compact"/>
                    <w:jc w:val="center"/>
                  </w:pPr>
                  <w:r>
                    <w:t xml:space="preserve">0.66</w:t>
                  </w:r>
                </w:p>
              </w:tc>
              <w:tc>
                <w:tcPr/>
                <w:p>
                  <w:pPr>
                    <w:pStyle w:val="Compact"/>
                    <w:jc w:val="center"/>
                  </w:pPr>
                  <w:r>
                    <w:t xml:space="preserve">Inf</w:t>
                  </w:r>
                </w:p>
              </w:tc>
              <w:tc>
                <w:tcPr/>
                <w:p>
                  <w:pPr>
                    <w:pStyle w:val="Compact"/>
                    <w:jc w:val="center"/>
                  </w:pPr>
                  <w:r>
                    <w:t xml:space="preserve">0.97521</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-0.18</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0.98118</w:t>
                  </w:r>
                </w:p>
              </w:tc>
            </w:tr>
            <w:tr>
              <w:tc>
                <w:tcPr/>
                <w:p>
                  <w:pPr>
                    <w:pStyle w:val="Compact"/>
                    <w:jc w:val="center"/>
                  </w:pPr>
                  <w:r>
                    <w:t xml:space="preserve">veg_diff</w:t>
                  </w:r>
                </w:p>
              </w:tc>
              <w:tc>
                <w:tcPr/>
                <w:p>
                  <w:pPr>
                    <w:pStyle w:val="Compact"/>
                    <w:jc w:val="center"/>
                  </w:pPr>
                  <w:r>
                    <w:t xml:space="preserve">ha - hd</w:t>
                  </w:r>
                </w:p>
              </w:tc>
              <w:tc>
                <w:tcPr/>
                <w:p>
                  <w:pPr>
                    <w:pStyle w:val="Compact"/>
                    <w:jc w:val="center"/>
                  </w:pPr>
                  <w:r>
                    <w:t xml:space="preserve">-1.24</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0.98495</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-0.45</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0.99993</w:t>
                  </w:r>
                </w:p>
              </w:tc>
            </w:tr>
          </w:tbl>
          <w:bookmarkEnd w:id="11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1" w:name="tbl-fuel-post-pct-grand-means"/>
          <w:p>
            <w:pPr>
              <w:jc w:val="center"/>
            </w:pPr>
            <w:pPr>
              <w:jc w:val="left"/>
              <w:spacing w:before="200"/>
              <w:pStyle w:val="ImageCaption"/>
            </w:pPr>
            <w:r>
              <w:t xml:space="preserve">Table 3.16: Modeled grand means Mg ha</w:t>
            </w:r>
            <w:r>
              <w:rPr>
                <w:vertAlign w:val="superscript"/>
              </w:rPr>
              <w:t xml:space="preserve">-1</w:t>
            </w:r>
            <w:r>
              <w:t xml:space="preserve"> </w:t>
            </w:r>
            <w:r>
              <w:t xml:space="preserve">of fuel loading 10 years after harvest and PCT. The asymptotic 95% confidence intervals are based on the normal approximation.</w:t>
            </w:r>
          </w:p>
          <w:tbl>
            <w:tblPr>
              <w:tblStyle w:val="Table"/>
              <w:tblW w:type="pct" w:w="4662"/>
              <w:tblLayout w:type="fixed"/>
              <w:tblLook w:firstRow="1" w:lastRow="0" w:firstColumn="0" w:lastColumn="0" w:noHBand="0" w:noVBand="0" w:val="0020"/>
            </w:tblPr>
            <w:tblGrid>
              <w:gridCol w:w="1177"/>
              <w:gridCol w:w="1070"/>
              <w:gridCol w:w="1177"/>
              <w:gridCol w:w="749"/>
              <w:gridCol w:w="642"/>
              <w:gridCol w:w="1284"/>
              <w:gridCol w:w="1284"/>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2.3</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1.5</w:t>
                  </w:r>
                </w:p>
              </w:tc>
              <w:tc>
                <w:tcPr/>
                <w:p>
                  <w:pPr>
                    <w:pStyle w:val="Compact"/>
                    <w:jc w:val="center"/>
                  </w:pPr>
                  <w:r>
                    <w:t xml:space="preserve">3</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5.4</w:t>
                  </w:r>
                </w:p>
              </w:tc>
              <w:tc>
                <w:tcPr/>
                <w:p>
                  <w:pPr>
                    <w:pStyle w:val="Compact"/>
                    <w:jc w:val="center"/>
                  </w:pPr>
                  <w:r>
                    <w:t xml:space="preserve">0.84</w:t>
                  </w:r>
                </w:p>
              </w:tc>
              <w:tc>
                <w:tcPr/>
                <w:p>
                  <w:pPr>
                    <w:pStyle w:val="Compact"/>
                    <w:jc w:val="center"/>
                  </w:pPr>
                  <w:r>
                    <w:t xml:space="preserve">Inf</w:t>
                  </w:r>
                </w:p>
              </w:tc>
              <w:tc>
                <w:tcPr/>
                <w:p>
                  <w:pPr>
                    <w:pStyle w:val="Compact"/>
                    <w:jc w:val="center"/>
                  </w:pPr>
                  <w:r>
                    <w:t xml:space="preserve">3.7</w:t>
                  </w:r>
                </w:p>
              </w:tc>
              <w:tc>
                <w:tcPr/>
                <w:p>
                  <w:pPr>
                    <w:pStyle w:val="Compact"/>
                    <w:jc w:val="center"/>
                  </w:pPr>
                  <w:r>
                    <w:t xml:space="preserve">7</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12.6</w:t>
                  </w:r>
                </w:p>
              </w:tc>
              <w:tc>
                <w:tcPr/>
                <w:p>
                  <w:pPr>
                    <w:pStyle w:val="Compact"/>
                    <w:jc w:val="center"/>
                  </w:pPr>
                  <w:r>
                    <w:t xml:space="preserve">2.2</w:t>
                  </w:r>
                </w:p>
              </w:tc>
              <w:tc>
                <w:tcPr/>
                <w:p>
                  <w:pPr>
                    <w:pStyle w:val="Compact"/>
                    <w:jc w:val="center"/>
                  </w:pPr>
                  <w:r>
                    <w:t xml:space="preserve">Inf</w:t>
                  </w:r>
                </w:p>
              </w:tc>
              <w:tc>
                <w:tcPr/>
                <w:p>
                  <w:pPr>
                    <w:pStyle w:val="Compact"/>
                    <w:jc w:val="center"/>
                  </w:pPr>
                  <w:r>
                    <w:t xml:space="preserve">8.3</w:t>
                  </w:r>
                </w:p>
              </w:tc>
              <w:tc>
                <w:tcPr/>
                <w:p>
                  <w:pPr>
                    <w:pStyle w:val="Compact"/>
                    <w:jc w:val="center"/>
                  </w:pPr>
                  <w:r>
                    <w:t xml:space="preserve">16.9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37.6</w:t>
                  </w:r>
                </w:p>
              </w:tc>
              <w:tc>
                <w:tcPr/>
                <w:p>
                  <w:pPr>
                    <w:pStyle w:val="Compact"/>
                    <w:jc w:val="center"/>
                  </w:pPr>
                  <w:r>
                    <w:t xml:space="preserve">5.61</w:t>
                  </w:r>
                </w:p>
              </w:tc>
              <w:tc>
                <w:tcPr/>
                <w:p>
                  <w:pPr>
                    <w:pStyle w:val="Compact"/>
                    <w:jc w:val="center"/>
                  </w:pPr>
                  <w:r>
                    <w:t xml:space="preserve">Inf</w:t>
                  </w:r>
                </w:p>
              </w:tc>
              <w:tc>
                <w:tcPr/>
                <w:p>
                  <w:pPr>
                    <w:pStyle w:val="Compact"/>
                    <w:jc w:val="center"/>
                  </w:pPr>
                  <w:r>
                    <w:t xml:space="preserve">26.6</w:t>
                  </w:r>
                </w:p>
              </w:tc>
              <w:tc>
                <w:tcPr/>
                <w:p>
                  <w:pPr>
                    <w:pStyle w:val="Compact"/>
                    <w:jc w:val="center"/>
                  </w:pPr>
                  <w:r>
                    <w:t xml:space="preserve">48.6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1.2</w:t>
                  </w:r>
                </w:p>
              </w:tc>
              <w:tc>
                <w:tcPr/>
                <w:p>
                  <w:pPr>
                    <w:pStyle w:val="Compact"/>
                    <w:jc w:val="center"/>
                  </w:pPr>
                  <w:r>
                    <w:t xml:space="preserve">3.8</w:t>
                  </w:r>
                </w:p>
              </w:tc>
            </w:tr>
            <w:tr>
              <w:tc>
                <w:tcPr/>
                <w:p>
                  <w:pPr>
                    <w:pStyle w:val="Compact"/>
                    <w:jc w:val="center"/>
                  </w:pPr>
                  <w:r>
                    <w:t xml:space="preserve">veg_diff</w:t>
                  </w:r>
                </w:p>
              </w:tc>
              <w:tc>
                <w:tcPr/>
                <w:p>
                  <w:pPr>
                    <w:pStyle w:val="Compact"/>
                    <w:jc w:val="center"/>
                  </w:pPr>
                  <w:r>
                    <w:t xml:space="preserve">overall</w:t>
                  </w:r>
                </w:p>
              </w:tc>
              <w:tc>
                <w:tcPr/>
                <w:p>
                  <w:pPr>
                    <w:pStyle w:val="Compact"/>
                    <w:jc w:val="center"/>
                  </w:pPr>
                  <w:r>
                    <w:t xml:space="preserve">17.3</w:t>
                  </w:r>
                </w:p>
              </w:tc>
              <w:tc>
                <w:tcPr/>
                <w:p>
                  <w:pPr>
                    <w:pStyle w:val="Compact"/>
                    <w:jc w:val="center"/>
                  </w:pPr>
                  <w:r>
                    <w:t xml:space="preserve">3.33</w:t>
                  </w:r>
                </w:p>
              </w:tc>
              <w:tc>
                <w:tcPr/>
                <w:p>
                  <w:pPr>
                    <w:pStyle w:val="Compact"/>
                    <w:jc w:val="center"/>
                  </w:pPr>
                  <w:r>
                    <w:t xml:space="preserve">Inf</w:t>
                  </w:r>
                </w:p>
              </w:tc>
              <w:tc>
                <w:tcPr/>
                <w:p>
                  <w:pPr>
                    <w:pStyle w:val="Compact"/>
                    <w:jc w:val="center"/>
                  </w:pPr>
                  <w:r>
                    <w:t xml:space="preserve">10.8</w:t>
                  </w:r>
                </w:p>
              </w:tc>
              <w:tc>
                <w:tcPr/>
                <w:p>
                  <w:pPr>
                    <w:pStyle w:val="Compact"/>
                    <w:jc w:val="center"/>
                  </w:pPr>
                  <w:r>
                    <w:t xml:space="preserve">23.8</w:t>
                  </w:r>
                </w:p>
              </w:tc>
            </w:tr>
          </w:tbl>
          <w:bookmarkEnd w:id="111"/>
          <w:p/>
        </w:tc>
      </w:tr>
    </w:tbl>
    <w:bookmarkEnd w:id="112"/>
    <w:bookmarkStart w:id="117" w:name="pre-post-commercial-thinning-comparison"/>
    <w:p>
      <w:pPr>
        <w:pStyle w:val="Heading3"/>
      </w:pPr>
      <w:r>
        <w:t xml:space="preserve">3.3.3 Pre-post commercial thinning comparison</w:t>
      </w:r>
    </w:p>
    <w:p>
      <w:pPr>
        <w:pStyle w:val="FirstParagraph"/>
      </w:pPr>
      <w:r>
        <w:t xml:space="preserve">The PCT of 10-year-old vegetation dramatically reduced live surface fuels,</w:t>
      </w:r>
      <w:r>
        <w:t xml:space="preserve"> </w:t>
      </w:r>
      <w:r>
        <w:t xml:space="preserve">predictably leading to varying increases in loading across 1- 10- and 100-hr</w:t>
      </w:r>
      <w:r>
        <w:t xml:space="preserve"> </w:t>
      </w:r>
      <w:r>
        <w:t xml:space="preserve">fuels. Specifically PCT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However these results were not statistically</w:t>
      </w:r>
      <w:r>
        <w:t xml:space="preserve"> </w:t>
      </w:r>
      <w:r>
        <w:t xml:space="preserve">comparable, due to slightly different model structures.</w:t>
      </w:r>
    </w:p>
    <w:tbl>
      <w:tblPr>
        <w:tblStyle w:val="Table"/>
        <w:tblW w:type="pct" w:w="5000"/>
        <w:tblLayout w:type="fixed"/>
        <w:tblLook w:firstRow="0" w:lastRow="0" w:firstColumn="0" w:lastColumn="0" w:noHBand="0" w:noVBand="0" w:val="0000"/>
      </w:tblPr>
      <w:tblGrid>
        <w:gridCol w:w="7920"/>
      </w:tblGrid>
      <w:tr>
        <w:tc>
          <w:tcPr/>
          <w:bookmarkStart w:id="116" w:name="fig-fuel-pct-comparison"/>
          <w:p>
            <w:pPr>
              <w:pStyle w:val="Compact"/>
              <w:jc w:val="center"/>
            </w:pPr>
            <w:r>
              <w:drawing>
                <wp:inline>
                  <wp:extent cx="5334000" cy="2667000"/>
                  <wp:effectExtent b="0" l="0" r="0" t="0"/>
                  <wp:docPr descr="" title="" id="114" name="Picture"/>
                  <a:graphic>
                    <a:graphicData uri="http://schemas.openxmlformats.org/drawingml/2006/picture">
                      <pic:pic>
                        <pic:nvPicPr>
                          <pic:cNvPr descr="thesis/results_files/figure-docx/fig-fuel-pct-comparison-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6"/>
        </w:tc>
      </w:tr>
    </w:tbl>
    <w:bookmarkEnd w:id="117"/>
    <w:bookmarkEnd w:id="118"/>
    <w:bookmarkEnd w:id="119"/>
    <w:bookmarkStart w:id="132" w:name="discussion"/>
    <w:p>
      <w:pPr>
        <w:pStyle w:val="Heading1"/>
      </w:pPr>
      <w:r>
        <w:t xml:space="preserve">4. Discussion</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Users\walki\AppData\Local\Programs\Quarto\share\formats\docx\caution.png" id="1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pStyle w:val="Compact"/>
              <w:numPr>
                <w:ilvl w:val="0"/>
                <w:numId w:val="1002"/>
              </w:numPr>
            </w:pPr>
            <w:r>
              <w:t xml:space="preserve">Aspect is an important predictor that was not explicitly accounted for in our</w:t>
            </w:r>
            <w:r>
              <w:t xml:space="preserve"> </w:t>
            </w:r>
            <w:r>
              <w:t xml:space="preserve">model, and may have led to inflated uncertainty</w:t>
            </w:r>
          </w:p>
          <w:p>
            <w:pPr>
              <w:pStyle w:val="Compact"/>
              <w:numPr>
                <w:ilvl w:val="0"/>
                <w:numId w:val="1002"/>
              </w:numPr>
            </w:pPr>
            <w:r>
              <w:t xml:space="preserve">Cost of treatments</w:t>
            </w:r>
          </w:p>
          <w:p>
            <w:pPr>
              <w:pStyle w:val="Compact"/>
              <w:numPr>
                <w:ilvl w:val="0"/>
                <w:numId w:val="1002"/>
              </w:numPr>
            </w:pPr>
            <w:r>
              <w:t xml:space="preserve">1-hr redwood fuels differed from other studies in that we implemented a cutoff</w:t>
            </w:r>
          </w:p>
          <w:p>
            <w:pPr>
              <w:pStyle w:val="Compact"/>
              <w:numPr>
                <w:ilvl w:val="0"/>
                <w:numId w:val="1002"/>
              </w:numPr>
            </w:pPr>
            <w:r>
              <w:t xml:space="preserve">Discuss the decision to allow surface fuels to extend to greater than 2 meters</w:t>
            </w:r>
          </w:p>
          <w:p>
            <w:pPr>
              <w:pStyle w:val="Compact"/>
              <w:numPr>
                <w:ilvl w:val="0"/>
                <w:numId w:val="1002"/>
              </w:numPr>
            </w:pPr>
            <w:r>
              <w:t xml:space="preserve">It may have been better to analyze sprout composition directly using the</w:t>
            </w:r>
            <w:r>
              <w:t xml:space="preserve"> </w:t>
            </w:r>
            <w:r>
              <w:t xml:space="preserve">binned data for the smaller sprouts, rather than converting to basal area</w:t>
            </w:r>
            <w:r>
              <w:t xml:space="preserve"> </w:t>
            </w:r>
            <w:r>
              <w:t xml:space="preserve">based on an assumed midpoint diameter.</w:t>
            </w:r>
          </w:p>
          <w:p>
            <w:pPr>
              <w:pStyle w:val="Compact"/>
              <w:numPr>
                <w:ilvl w:val="0"/>
                <w:numId w:val="1002"/>
              </w:numPr>
            </w:pPr>
            <w:r>
              <w:t xml:space="preserve">Discuss the decision to combine live and dead vegetation fuels</w:t>
            </w:r>
          </w:p>
          <w:p>
            <w:pPr>
              <w:pStyle w:val="Compact"/>
              <w:numPr>
                <w:ilvl w:val="0"/>
                <w:numId w:val="1002"/>
              </w:numPr>
            </w:pPr>
            <w:r>
              <w:t xml:space="preserve">Discuss the decision to combine herbaceous and woody vegetation fuels</w:t>
            </w:r>
          </w:p>
          <w:p>
            <w:pPr>
              <w:pStyle w:val="Compact"/>
              <w:numPr>
                <w:ilvl w:val="0"/>
                <w:numId w:val="1002"/>
              </w:numPr>
            </w:pPr>
            <w:r>
              <w:t xml:space="preserve">Discuss the decision to combine duff and litter</w:t>
            </w:r>
          </w:p>
          <w:p>
            <w:pPr>
              <w:pStyle w:val="Compact"/>
              <w:numPr>
                <w:ilvl w:val="0"/>
                <w:numId w:val="1002"/>
              </w:numPr>
            </w:pPr>
            <w:r>
              <w:t xml:space="preserve">Discuss the decision to use basal area for redwood and tanoak and counts for</w:t>
            </w:r>
            <w:r>
              <w:t xml:space="preserve"> </w:t>
            </w:r>
            <w:r>
              <w:t xml:space="preserve">Douglas-fir</w:t>
            </w:r>
          </w:p>
          <w:p>
            <w:pPr>
              <w:pStyle w:val="Compact"/>
              <w:numPr>
                <w:ilvl w:val="0"/>
                <w:numId w:val="1002"/>
              </w:numPr>
            </w:pPr>
            <w:r>
              <w:t xml:space="preserve">Discuss the similarity between vegetation fuel difference post-PCT and</w:t>
            </w:r>
            <w:r>
              <w:t xml:space="preserve"> </w:t>
            </w:r>
            <w:r>
              <w:t xml:space="preserve">vegetation fuel loading pre-PCT</w:t>
            </w:r>
          </w:p>
          <w:p>
            <w:pPr>
              <w:pStyle w:val="Compact"/>
              <w:numPr>
                <w:ilvl w:val="0"/>
                <w:numId w:val="1002"/>
              </w:numPr>
            </w:pPr>
            <w:r>
              <w:t xml:space="preserve">Discuss the significance of 1-hr fuel loading pre-PCT vs post-PCT</w:t>
            </w:r>
          </w:p>
          <w:p>
            <w:pPr>
              <w:pStyle w:val="Compact"/>
              <w:numPr>
                <w:ilvl w:val="0"/>
                <w:numId w:val="1002"/>
              </w:numPr>
            </w:pPr>
            <w:r>
              <w:t xml:space="preserve">Discuss the significance of 10-hr fuel loading pre-PCT vs post-PCT</w:t>
            </w:r>
          </w:p>
          <w:p>
            <w:pPr>
              <w:pStyle w:val="Compact"/>
              <w:numPr>
                <w:ilvl w:val="0"/>
                <w:numId w:val="1002"/>
              </w:numPr>
            </w:pPr>
            <w:r>
              <w:t xml:space="preserve">Discuss the significance of 100-hr fuel loading pre-PCT vs post-PCT</w:t>
            </w:r>
          </w:p>
          <w:p>
            <w:pPr>
              <w:pStyle w:val="Compact"/>
              <w:numPr>
                <w:ilvl w:val="0"/>
                <w:numId w:val="1002"/>
              </w:numPr>
            </w:pPr>
            <w:r>
              <w:t xml:space="preserve">Discuss the similarity between redwood or tanoak basal area and vegetation fuel loading</w:t>
            </w:r>
          </w:p>
          <w:p>
            <w:pPr>
              <w:pStyle w:val="Compact"/>
              <w:numPr>
                <w:ilvl w:val="0"/>
                <w:numId w:val="1002"/>
              </w:numPr>
            </w:pPr>
            <w:r>
              <w:t xml:space="preserve">Discuss the potential over-estimation of vegetation fuel loading</w:t>
            </w:r>
          </w:p>
          <w:p/>
        </w:tc>
      </w:tr>
    </w:tbl>
    <w:bookmarkStart w:id="125" w:name="regeneration-3"/>
    <w:p>
      <w:pPr>
        <w:pStyle w:val="Heading2"/>
      </w:pPr>
      <w:r>
        <w:t xml:space="preserve">4.1 Regeneration</w:t>
      </w:r>
    </w:p>
    <w:bookmarkStart w:id="122" w:name="redwood-and-tanoak"/>
    <w:p>
      <w:pPr>
        <w:pStyle w:val="Heading3"/>
      </w:pPr>
      <w:r>
        <w:t xml:space="preserve">4.1.1 Redwood and tanoak</w:t>
      </w:r>
    </w:p>
    <w:p>
      <w:pPr>
        <w:pStyle w:val="FirstParagraph"/>
      </w:pPr>
      <w:r>
        <w:t xml:space="preserve">Basal area was selected as the metric for quantifying redwood and tanoak</w:t>
      </w:r>
      <w:r>
        <w:t xml:space="preserve"> </w:t>
      </w:r>
      <w:r>
        <w:t xml:space="preserve">abundance because prolific sprout regeneration in both species was undergoing</w:t>
      </w:r>
      <w:r>
        <w:t xml:space="preserve"> </w:t>
      </w:r>
      <w:r>
        <w:t xml:space="preserve">self-thinning. In this context, basal area provided a more informative measure</w:t>
      </w:r>
      <w:r>
        <w:t xml:space="preserve"> </w:t>
      </w:r>
      <w:r>
        <w:t xml:space="preserve">than stem density, as it better captured treatment responses by reflecting the</w:t>
      </w:r>
      <w:r>
        <w:t xml:space="preserve"> </w:t>
      </w:r>
      <w:r>
        <w:t xml:space="preserve">relative contribution of established stems rather than the transient abundance</w:t>
      </w:r>
      <w:r>
        <w:t xml:space="preserve"> </w:t>
      </w:r>
      <w:r>
        <w:t xml:space="preserve">of sprouts.</w:t>
      </w:r>
    </w:p>
    <w:p>
      <w:pPr>
        <w:pStyle w:val="BodyText"/>
      </w:pPr>
      <w:r>
        <w:t xml:space="preserve">We found redwood growth—in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R.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(O’Hara et al., 2017)</w:t>
      </w:r>
      <w:r>
        <w:t xml:space="preserve">.</w:t>
      </w:r>
    </w:p>
    <w:p>
      <w:pPr>
        <w:pStyle w:val="BodyText"/>
      </w:pPr>
      <w:r>
        <w:t xml:space="preserve">Although none of the treatment differences for tanoak were statistically</w:t>
      </w:r>
      <w:r>
        <w:t xml:space="preserve"> </w:t>
      </w:r>
      <w:r>
        <w:t xml:space="preserve">supported, the largest difference was between the GS and HA</w:t>
      </w:r>
      <w:r>
        <w:t xml:space="preserve"> </w:t>
      </w:r>
      <w:r>
        <w:t xml:space="preserve">treatments, suggesting that the HA treatment minimized tanoak sprout growth.</w:t>
      </w:r>
    </w:p>
    <w:p>
      <w:pPr>
        <w:pStyle w:val="BodyText"/>
      </w:pPr>
      <w:r>
        <w:t xml:space="preserve">Shade tolerance theory predicts that at a certain overstory density, tanoak</w:t>
      </w:r>
      <w:r>
        <w:t xml:space="preserve"> </w:t>
      </w:r>
      <w:r>
        <w:t xml:space="preserve">abundance should exceed that of redwood. This crossover point appears to have</w:t>
      </w:r>
      <w:r>
        <w:t xml:space="preserve"> </w:t>
      </w:r>
      <w:r>
        <w:t xml:space="preserve">been approached in the HA and HD treatments where basal area for these two</w:t>
      </w:r>
      <w:r>
        <w:t xml:space="preserve"> </w:t>
      </w:r>
      <w:r>
        <w:t xml:space="preserve">species were very similar.</w:t>
      </w:r>
    </w:p>
    <w:p>
      <w:pPr>
        <w:pStyle w:val="BodyText"/>
      </w:pPr>
      <w:r>
        <w:t xml:space="preserve">It is important to point out here that the HA and HD</w:t>
      </w:r>
      <w:r>
        <w:t xml:space="preserve"> </w:t>
      </w:r>
      <w:r>
        <w:t xml:space="preserve">“high-density”</w:t>
      </w:r>
      <w:r>
        <w:t xml:space="preserve"> </w:t>
      </w:r>
      <w:r>
        <w:t xml:space="preserve">treatments</w:t>
      </w:r>
      <w:r>
        <w:t xml:space="preserve"> </w:t>
      </w:r>
      <w:r>
        <w:t xml:space="preserve">in this experiment only targeted a residual overstory relative density of 20%</w:t>
      </w:r>
      <w:r>
        <w:t xml:space="preserve"> </w:t>
      </w:r>
      <w:r>
        <w:t xml:space="preserve">(that is 20% of assumed total carrying capacity of the site), and this was</w:t>
      </w:r>
      <w:r>
        <w:t xml:space="preserve"> </w:t>
      </w:r>
      <w:r>
        <w:t xml:space="preserve">selected as an upper limit to support the objective of maintaining conifer</w:t>
      </w:r>
      <w:r>
        <w:t xml:space="preserve"> </w:t>
      </w:r>
      <w:r>
        <w:t xml:space="preserve">growth</w:t>
      </w:r>
      <w:r>
        <w:t xml:space="preserve"> </w:t>
      </w:r>
      <w:r>
        <w:t xml:space="preserve">(Berrill &amp; O’Hara, 2009)</w:t>
      </w:r>
      <w:r>
        <w:t xml:space="preserve">. It seems likely that at higher</w:t>
      </w:r>
      <w:r>
        <w:t xml:space="preserve"> </w:t>
      </w:r>
      <w:r>
        <w:t xml:space="preserve">overstory densities we might see tanoak abundance, in terms of total basal area,</w:t>
      </w:r>
      <w:r>
        <w:t xml:space="preserve"> </w:t>
      </w:r>
      <w:r>
        <w:t xml:space="preserve">exceed that of redwood in the understory.</w:t>
      </w:r>
    </w:p>
    <w:p>
      <w:pPr>
        <w:pStyle w:val="BodyText"/>
      </w:pPr>
      <w:r>
        <w:t xml:space="preserve">Our use of basal area as a response did not distinguish between number of stems</w:t>
      </w:r>
      <w:r>
        <w:t xml:space="preserve"> </w:t>
      </w:r>
      <w:r>
        <w:t xml:space="preserve">and size of stems. There have been numerous metrics used in attempts to assess</w:t>
      </w:r>
      <w:r>
        <w:t xml:space="preserve"> </w:t>
      </w:r>
      <w:r>
        <w:t xml:space="preserve">shade tolerance</w:t>
      </w:r>
      <w:r>
        <w:t xml:space="preserve"> </w:t>
      </w:r>
      <w:r>
        <w:t xml:space="preserve">(Forrester et al., 2014)</w:t>
      </w:r>
      <w:r>
        <w:t xml:space="preserve">. Our use of basal area</w:t>
      </w:r>
      <w:r>
        <w:t xml:space="preserve"> </w:t>
      </w:r>
      <w:r>
        <w:t xml:space="preserve">(which conflates growth and survival of sprouts) is justified given the</w:t>
      </w:r>
      <w:r>
        <w:t xml:space="preserve"> </w:t>
      </w:r>
      <w:r>
        <w:t xml:space="preserve">assumption that these are expected to be correlated in forests that don’t</w:t>
      </w:r>
      <w:r>
        <w:t xml:space="preserve"> </w:t>
      </w:r>
      <w:r>
        <w:t xml:space="preserve">undergo a long harsh winter</w:t>
      </w:r>
      <w:r>
        <w:t xml:space="preserve"> </w:t>
      </w:r>
      <w:r>
        <w:t xml:space="preserve">(Lin et al., 2002)</w:t>
      </w:r>
      <w:r>
        <w:t xml:space="preserve">.</w:t>
      </w:r>
    </w:p>
    <w:p>
      <w:pPr>
        <w:pStyle w:val="BodyText"/>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p>
    <w:p>
      <w:pPr>
        <w:pStyle w:val="BodyText"/>
      </w:pPr>
      <w:r>
        <w:t xml:space="preserve">In all treatments, the uncertainty in the average redwood basal area is much</w:t>
      </w:r>
      <w:r>
        <w:t xml:space="preserve"> </w:t>
      </w:r>
      <w:r>
        <w:t xml:space="preserve">greater than that of tanoak. Given that we modeled the total basal area of all</w:t>
      </w:r>
      <w:r>
        <w:t xml:space="preserve"> </w:t>
      </w:r>
      <w:r>
        <w:t xml:space="preserve">species in each vegetation plot, this suggests that variability in redwood basal</w:t>
      </w:r>
      <w:r>
        <w:t xml:space="preserve"> </w:t>
      </w:r>
      <w:r>
        <w:t xml:space="preserve">area was much greater than that of tanoak across macro plots and/or sites. The</w:t>
      </w:r>
      <w:r>
        <w:t xml:space="preserve"> </w:t>
      </w:r>
      <w:r>
        <w:t xml:space="preserve">greater relative uncertainty we observed in redwood compared to tanoak may have</w:t>
      </w:r>
      <w:r>
        <w:t xml:space="preserve"> </w:t>
      </w:r>
      <w:r>
        <w:t xml:space="preserve">to do with redwoods greater sensitivity to light conditions. We selected sites</w:t>
      </w:r>
      <w:r>
        <w:t xml:space="preserve"> </w:t>
      </w:r>
      <w:r>
        <w:t xml:space="preserve">with both north and south facing slopes and this may have led to relatively</w:t>
      </w:r>
      <w:r>
        <w:t xml:space="preserve"> </w:t>
      </w:r>
      <w:r>
        <w:t xml:space="preserve">larger differences for redwoods growth response compared to tanoak. Additional</w:t>
      </w:r>
      <w:r>
        <w:t xml:space="preserve"> </w:t>
      </w:r>
      <w:r>
        <w:t xml:space="preserve">uncertainty may be due to variable light levels within macro plots.</w:t>
      </w:r>
    </w:p>
    <w:p>
      <w:pPr>
        <w:pStyle w:val="BodyText"/>
      </w:pPr>
      <w:r>
        <w:t xml:space="preserve">It is interesting to note that basal area comparisons between redwood and tanoak</w:t>
      </w:r>
      <w:r>
        <w:t xml:space="preserve"> </w:t>
      </w:r>
      <w:r>
        <w:t xml:space="preserve">resulted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(Oliver et al., 1994)</w:t>
      </w:r>
      <w:r>
        <w:t xml:space="preserve"> </w:t>
      </w:r>
      <w:r>
        <w:t xml:space="preserve">and</w:t>
      </w:r>
      <w:r>
        <w:t xml:space="preserve"> </w:t>
      </w:r>
      <w:r>
        <w:t xml:space="preserve">has been found to play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 or size of cut stump as a</w:t>
      </w:r>
      <w:r>
        <w:t xml:space="preserve"> </w:t>
      </w:r>
      <w:r>
        <w:t xml:space="preserve">proxy for size or resprouting root system</w:t>
      </w:r>
      <w:r>
        <w:t xml:space="preserve"> </w:t>
      </w:r>
      <w:r>
        <w:t xml:space="preserve">(Berrill et al., 2018)</w:t>
      </w:r>
      <w:r>
        <w:t xml:space="preserve">.</w:t>
      </w:r>
    </w:p>
    <w:bookmarkEnd w:id="122"/>
    <w:bookmarkStart w:id="123" w:name="douglas-fir-counts-1"/>
    <w:p>
      <w:pPr>
        <w:pStyle w:val="Heading3"/>
      </w:pPr>
      <w:r>
        <w:t xml:space="preserve">4.1.2 Douglas-fir counts</w:t>
      </w:r>
    </w:p>
    <w:p>
      <w:pPr>
        <w:pStyle w:val="FirstParagraph"/>
      </w:pPr>
      <w:r>
        <w:t xml:space="preserve">Douglas-fir abundance was modeled using stem counts because the species</w:t>
      </w:r>
      <w:r>
        <w:t xml:space="preserve"> </w:t>
      </w:r>
      <w:r>
        <w:t xml:space="preserve">does not regenerate through sprouting and thus did not exhibit the self-thinning</w:t>
      </w:r>
      <w:r>
        <w:t xml:space="preserve"> </w:t>
      </w:r>
      <w:r>
        <w:t xml:space="preserve">found in the sprouting species. Moreover, stems were relatively few in number</w:t>
      </w:r>
      <w:r>
        <w:t xml:space="preserve"> </w:t>
      </w:r>
      <w:r>
        <w:t xml:space="preserve">and consisted largely of small seedlings, making stem density a more informative</w:t>
      </w:r>
      <w:r>
        <w:t xml:space="preserve"> </w:t>
      </w:r>
      <w:r>
        <w:t xml:space="preserve">metric than basal area for comparing responses across treatments.</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or stem</w:t>
      </w:r>
      <w:r>
        <w:t xml:space="preserve"> </w:t>
      </w:r>
      <w:r>
        <w:t xml:space="preserve">counts.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3"/>
    <w:bookmarkStart w:id="124" w:name="other-species"/>
    <w:p>
      <w:pPr>
        <w:pStyle w:val="Heading3"/>
      </w:pPr>
      <w:r>
        <w:t xml:space="preserve">4.1.3 Other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w:t>
      </w:r>
      <w:r>
        <w:t xml:space="preserve"> </w:t>
      </w:r>
      <w:r>
        <w:t xml:space="preserve">data. Potential differences in minor species’ abundances is likely only relevant</w:t>
      </w:r>
      <w:r>
        <w:t xml:space="preserve"> </w:t>
      </w:r>
      <w:r>
        <w:t xml:space="preserve">for grand fir, due to its shade tolerance</w:t>
      </w:r>
      <w:r>
        <w:t xml:space="preserve"> </w:t>
      </w:r>
      <w:r>
        <w:t xml:space="preserve">(Webb et al., 2012)</w:t>
      </w:r>
      <w:r>
        <w:t xml:space="preserve">. Red</w:t>
      </w:r>
      <w:r>
        <w:t xml:space="preserve"> </w:t>
      </w:r>
      <w:r>
        <w:t xml:space="preserve">alder and western hemlock were observed during an earlier iteration of this</w:t>
      </w:r>
      <w:r>
        <w:t xml:space="preserve"> </w:t>
      </w:r>
      <w:r>
        <w:t xml:space="preserve">experiment, but were not detected with our current experimental design</w:t>
      </w:r>
      <w:r>
        <w:t xml:space="preserve"> </w:t>
      </w:r>
      <w:r>
        <w:t xml:space="preserve">(R. T. Muma, 2019)</w:t>
      </w:r>
      <w:r>
        <w:t xml:space="preserve">.</w:t>
      </w:r>
    </w:p>
    <w:bookmarkEnd w:id="124"/>
    <w:bookmarkEnd w:id="125"/>
    <w:bookmarkStart w:id="126" w:name="sprout-height"/>
    <w:p>
      <w:pPr>
        <w:pStyle w:val="Heading2"/>
      </w:pPr>
      <w:r>
        <w:t xml:space="preserve">4.2 Sprout height</w:t>
      </w:r>
    </w:p>
    <w:p>
      <w:pPr>
        <w:pStyle w:val="FirstParagraph"/>
      </w:pPr>
      <w:r>
        <w:t xml:space="preserve">We found that for both redwood and tanoak, height increment and overall</w:t>
      </w:r>
      <w:r>
        <w:t xml:space="preserve"> </w:t>
      </w:r>
      <w:r>
        <w:t xml:space="preserve">height at year 10 were greatest in the Group Selection (GS) treatment, followed</w:t>
      </w:r>
      <w:r>
        <w:t xml:space="preserve"> </w:t>
      </w:r>
      <w:r>
        <w:t xml:space="preserve">by Low-Density Dispersed (LD), High-Density Aggregated (HA), and High-Density</w:t>
      </w:r>
      <w:r>
        <w:t xml:space="preserve"> </w:t>
      </w:r>
      <w:r>
        <w:t xml:space="preserve">Dispersed (HD) treatments. This pattern indicates that greater reductions in</w:t>
      </w:r>
      <w:r>
        <w:t xml:space="preserve"> </w:t>
      </w:r>
      <w:r>
        <w:t xml:space="preserve">overstory density lead to more rapid sprout growth.</w:t>
      </w:r>
    </w:p>
    <w:p>
      <w:pPr>
        <w:pStyle w:val="BodyText"/>
      </w:pPr>
      <w:r>
        <w:t xml:space="preserve">This strong positive relationship between reduced overstory density and sprout</w:t>
      </w:r>
      <w:r>
        <w:t xml:space="preserve"> </w:t>
      </w:r>
      <w:r>
        <w:t xml:space="preserve">height is a consistent and well-documented finding across various species and</w:t>
      </w:r>
      <w:r>
        <w:t xml:space="preserve"> </w:t>
      </w:r>
      <w:r>
        <w:t xml:space="preserve">forest types in the literature: Understory light availability, which is</w:t>
      </w:r>
      <w:r>
        <w:t xml:space="preserve"> </w:t>
      </w:r>
      <w:r>
        <w:t xml:space="preserve">inversely related to overstory density, is a primary driver of stump sprout</w:t>
      </w:r>
      <w:r>
        <w:t xml:space="preserve"> </w:t>
      </w:r>
      <w:r>
        <w:t xml:space="preserve">growth in redwood-mixed-conifer systems</w:t>
      </w:r>
      <w:r>
        <w:t xml:space="preserve"> </w:t>
      </w:r>
      <w:r>
        <w:t xml:space="preserve">(Berrill et al., 2018; Berrill et al., 2021)</w:t>
      </w:r>
      <w:r>
        <w:t xml:space="preserve">,</w:t>
      </w:r>
      <w:r>
        <w:t xml:space="preserve"> </w:t>
      </w:r>
      <w:r>
        <w:t xml:space="preserve">and in other systems as well</w:t>
      </w:r>
      <w:r>
        <w:t xml:space="preserve"> </w:t>
      </w:r>
      <w:r>
        <w:t xml:space="preserve">(Atwood et al., 2009; Gardiner &amp; Helmig, 1997; Keyser &amp; Zarnoch, 2014; Knapp et al., 2017)</w:t>
      </w:r>
      <w:r>
        <w:t xml:space="preserve">.</w:t>
      </w:r>
    </w:p>
    <w:p>
      <w:pPr>
        <w:pStyle w:val="BodyText"/>
      </w:pPr>
      <w:r>
        <w:t xml:space="preserve">We found that redwood grew faster and achieved greater heights than</w:t>
      </w:r>
      <w:r>
        <w:t xml:space="preserve"> </w:t>
      </w:r>
      <w:r>
        <w:t xml:space="preserve">tanoak across all treatments and growth periods. For example, redwood height</w:t>
      </w:r>
      <w:r>
        <w:t xml:space="preserve"> </w:t>
      </w:r>
      <w:r>
        <w:t xml:space="preserve">increment was 0.42 m/yr greater than tanoak in the first period and 0.33 m/yr</w:t>
      </w:r>
      <w:r>
        <w:t xml:space="preserve"> </w:t>
      </w:r>
      <w:r>
        <w:t xml:space="preserve">greater in the second period. Also, redwood height growth response</w:t>
      </w:r>
      <w:r>
        <w:t xml:space="preserve"> </w:t>
      </w:r>
      <w:r>
        <w:t xml:space="preserve">was much stronger in more open conditions, while tanoak’s was comparatively</w:t>
      </w:r>
      <w:r>
        <w:t xml:space="preserve"> </w:t>
      </w:r>
      <w:r>
        <w:t xml:space="preserve">modest.</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Despite substantial reductions in redwood</w:t>
      </w:r>
      <w:r>
        <w:t xml:space="preserve"> </w:t>
      </w:r>
      <w:r>
        <w:t xml:space="preserve">basal area with our high-overstory-retention treatments, especially compared to</w:t>
      </w:r>
      <w:r>
        <w:t xml:space="preserve"> </w:t>
      </w:r>
      <w:r>
        <w:t xml:space="preserve">tanoak, redwood height growth was still dominant at about 0.6 m yr</w:t>
      </w:r>
      <w:r>
        <w:rPr>
          <w:vertAlign w:val="superscript"/>
        </w:rPr>
        <w:t xml:space="preserve">-1</w:t>
      </w:r>
      <w:r>
        <w:t xml:space="preserve">. While</w:t>
      </w:r>
      <w:r>
        <w:t xml:space="preserve"> </w:t>
      </w:r>
      <w:r>
        <w:t xml:space="preserve">the aggregated high-density treatment saw marginally higher sprout height</w:t>
      </w:r>
      <w:r>
        <w:t xml:space="preserve"> </w:t>
      </w:r>
      <w:r>
        <w:t xml:space="preserve">development than the HD treatment, the difference was not large or statistically</w:t>
      </w:r>
      <w:r>
        <w:t xml:space="preserve"> </w:t>
      </w:r>
      <w:r>
        <w:t xml:space="preserve">significant. The initial harvest in both high-density treatments in this</w:t>
      </w:r>
      <w:r>
        <w:t xml:space="preserve"> </w:t>
      </w:r>
      <w:r>
        <w:t xml:space="preserve">experiment resulted in about 39 m</w:t>
      </w:r>
      <w:r>
        <w:rPr>
          <w:vertAlign w:val="superscript"/>
        </w:rPr>
        <w:t xml:space="preserve">2</w:t>
      </w:r>
      <w:r>
        <w:t xml:space="preserve"> </w:t>
      </w:r>
      <w:r>
        <w:t xml:space="preserve">ha</w:t>
      </w:r>
      <w:r>
        <w:rPr>
          <w:vertAlign w:val="superscript"/>
        </w:rPr>
        <w:t xml:space="preserve">-1</w:t>
      </w:r>
      <w:r>
        <w:t xml:space="preserve">. This suggests that the level of</w:t>
      </w:r>
      <w:r>
        <w:t xml:space="preserve"> </w:t>
      </w:r>
      <w:r>
        <w:t xml:space="preserve">overstory harvest prescribed by a previous growth modeling study</w:t>
      </w:r>
      <w:r>
        <w:t xml:space="preserve"> </w:t>
      </w:r>
      <w:r>
        <w:t xml:space="preserve">(32-38 m</w:t>
      </w:r>
      <w:r>
        <w:rPr>
          <w:vertAlign w:val="superscript"/>
        </w:rPr>
        <w:t xml:space="preserve">2</w:t>
      </w:r>
      <w:r>
        <w:t xml:space="preserve"> </w:t>
      </w:r>
      <w:r>
        <w:t xml:space="preserve">ha</w:t>
      </w:r>
      <w:r>
        <w:rPr>
          <w:vertAlign w:val="superscript"/>
        </w:rPr>
        <w:t xml:space="preserve">-1</w:t>
      </w:r>
      <w:r>
        <w:t xml:space="preserve">, Berrill &amp; O’Hara, 2009)</w:t>
      </w:r>
      <w:r>
        <w:t xml:space="preserve"> </w:t>
      </w:r>
      <w:r>
        <w:t xml:space="preserve">may be an upper bound</w:t>
      </w:r>
      <w:r>
        <w:t xml:space="preserve"> </w:t>
      </w:r>
      <w:r>
        <w:t xml:space="preserve">in these systems if redwood sprout growth is to be maintained until the next</w:t>
      </w:r>
      <w:r>
        <w:t xml:space="preserve"> </w:t>
      </w:r>
      <w:r>
        <w:t xml:space="preserve">partial harvest.</w:t>
      </w:r>
    </w:p>
    <w:bookmarkEnd w:id="126"/>
    <w:bookmarkStart w:id="131" w:name="fuel-loading"/>
    <w:p>
      <w:pPr>
        <w:pStyle w:val="Heading2"/>
      </w:pPr>
      <w:r>
        <w:t xml:space="preserve">4.3 Fuel loading</w:t>
      </w:r>
    </w:p>
    <w:bookmarkStart w:id="129" w:name="pre-pct-1"/>
    <w:p>
      <w:pPr>
        <w:pStyle w:val="Heading3"/>
      </w:pPr>
      <w:r>
        <w:t xml:space="preserve">4.3.1 Pre-PCT</w:t>
      </w:r>
    </w:p>
    <w:p>
      <w:pPr>
        <w:pStyle w:val="FirstParagraph"/>
      </w:pPr>
      <w:r>
        <w:t xml:space="preserve">Prior to PCT scheduled Fuel loading were comparable to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range of redwood stand structures</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 </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 (7 Mg ha</w:t>
      </w:r>
      <w:r>
        <w:rPr>
          <w:vertAlign w:val="superscript"/>
        </w:rPr>
        <w:t xml:space="preserve">-1</w:t>
      </w:r>
      <w:r>
        <w:t xml:space="preserve">,</w:t>
      </w:r>
      <w:r>
        <w:t xml:space="preserve"> </w:t>
      </w:r>
      <w:r>
        <w:t xml:space="preserve">Glebocki (2015)</w:t>
      </w:r>
      <w:r>
        <w:t xml:space="preserve">), and 3 Mg ha</w:t>
      </w:r>
      <w:r>
        <w:rPr>
          <w:vertAlign w:val="superscript"/>
        </w:rPr>
        <w:t xml:space="preserve">-1</w:t>
      </w:r>
      <w:r>
        <w:t xml:space="preserve"> </w:t>
      </w:r>
      <w:r>
        <w:t xml:space="preserve">higher</w:t>
      </w:r>
      <w:r>
        <w:t xml:space="preserve"> </w:t>
      </w:r>
      <w:r>
        <w:t xml:space="preserve">than that found in old growth stands (12 Mg ha</w:t>
      </w:r>
      <w:r>
        <w:rPr>
          <w:vertAlign w:val="superscript"/>
        </w:rPr>
        <w:t xml:space="preserve">-1</w:t>
      </w:r>
      <w:r>
        <w:t xml:space="preserve">,</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“old growth”</w:t>
      </w:r>
      <w:r>
        <w:t xml:space="preserve"> </w:t>
      </w:r>
      <w:r>
        <w:t xml:space="preserve">and</w:t>
      </w:r>
      <w:r>
        <w:t xml:space="preserve"> </w:t>
      </w:r>
      <w:r>
        <w:t xml:space="preserve">“very young, mixed”</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r>
        <w:t xml:space="preserve"> </w:t>
      </w:r>
      <w:r>
        <w:t xml:space="preserve">possibly due to differing stand structures and species compositions. That young</w:t>
      </w:r>
      <w:r>
        <w:t xml:space="preserve"> </w:t>
      </w:r>
      <w:r>
        <w:t xml:space="preserve">forest was dominated by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Our average 10-hr fuel loading was higher than in the very young, mixed stand</w:t>
      </w:r>
      <w:r>
        <w:t xml:space="preserve"> </w:t>
      </w:r>
      <w:r>
        <w:t xml:space="preserve">(3.4 vs. 2 Mg ha</w:t>
      </w:r>
      <w:r>
        <w:rPr>
          <w:vertAlign w:val="superscript"/>
        </w:rPr>
        <w:t xml:space="preserve">-1</w:t>
      </w:r>
      <w:r>
        <w:t xml:space="preserve">) but similar to the old growth stand. It might be</w:t>
      </w:r>
      <w:r>
        <w:t xml:space="preserve"> </w:t>
      </w:r>
      <w:r>
        <w:t xml:space="preserve">reasonable here to suspect that the smaller trees in the very young, mixed stand</w:t>
      </w:r>
      <w:r>
        <w:t xml:space="preserve"> </w:t>
      </w:r>
      <w:r>
        <w:t xml:space="preserve">did not supply as much 10-hr fuels because of the sizes of their branches,</w:t>
      </w:r>
      <w:r>
        <w:t xml:space="preserve"> </w:t>
      </w:r>
      <w:r>
        <w:t xml:space="preserve">whereas branch shedding patterns in the 10-hr time lags class were more similar</w:t>
      </w:r>
      <w:r>
        <w:t xml:space="preserve"> </w:t>
      </w:r>
      <w:r>
        <w:t xml:space="preserve">between our stands and the old growth ones.</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w:t>
      </w:r>
      <w:r>
        <w:t xml:space="preserve"> </w:t>
      </w:r>
      <w:r>
        <w:t xml:space="preserve">ha</w:t>
      </w:r>
      <w:r>
        <w:rPr>
          <w:vertAlign w:val="superscript"/>
        </w:rPr>
        <w:t xml:space="preserve">-1</w:t>
      </w:r>
      <w:r>
        <w:t xml:space="preserve">). This may be the result of residual fuels left over from the harvest</w:t>
      </w:r>
      <w:r>
        <w:t xml:space="preserve"> </w:t>
      </w:r>
      <w:r>
        <w:t xml:space="preserve">treatment that initiated our experiment which would have been absent from the</w:t>
      </w:r>
      <w:r>
        <w:t xml:space="preserve"> </w:t>
      </w:r>
      <w:r>
        <w:t xml:space="preserve">other sites referenced here. In the very young, mixed stand for instance, 100-hr</w:t>
      </w:r>
      <w:r>
        <w:t xml:space="preserve"> </w:t>
      </w:r>
      <w:r>
        <w:t xml:space="preserve">fuels jumped to 10 Mg ha</w:t>
      </w:r>
      <w:r>
        <w:rPr>
          <w:vertAlign w:val="superscript"/>
        </w:rPr>
        <w:t xml:space="preserve">-1</w:t>
      </w:r>
      <w:r>
        <w:t xml:space="preserve"> </w:t>
      </w:r>
      <w:r>
        <w:t xml:space="preserve">immediately following a thinning treatment.</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and the very young, mixed stands (54 Mg</w:t>
      </w:r>
      <w:r>
        <w:t xml:space="preserve"> </w:t>
      </w:r>
      <w:r>
        <w:t xml:space="preserve">ha</w:t>
      </w:r>
      <w:r>
        <w:rPr>
          <w:vertAlign w:val="superscript"/>
        </w:rPr>
        <w:t xml:space="preserve">-1</w:t>
      </w:r>
      <w:r>
        <w:t xml:space="preserve">). These estimates are accompanied by relatively high standard errors, but</w:t>
      </w:r>
      <w:r>
        <w:t xml:space="preserve"> </w:t>
      </w:r>
      <w:r>
        <w:t xml:space="preserve">it would not be surprising that State Park forests, with little to no recent</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The similarity in average fuel loading between our Pre-PCT stands and two</w:t>
      </w:r>
      <w:r>
        <w:t xml:space="preserve"> </w:t>
      </w:r>
      <w:r>
        <w:t xml:space="preserve">studies conducted in structurally distinct redwood forests aligns with our</w:t>
      </w:r>
      <w:r>
        <w:t xml:space="preserve"> </w:t>
      </w:r>
      <w:r>
        <w:t xml:space="preserve">finding of few statistically significant differences in fuel loading among</w:t>
      </w:r>
      <w:r>
        <w:t xml:space="preserve"> </w:t>
      </w:r>
      <w:r>
        <w:t xml:space="preserve">treatments. This result is common among other studies and is expected due to the</w:t>
      </w:r>
      <w:r>
        <w:t xml:space="preserve"> </w:t>
      </w:r>
      <w:r>
        <w:t xml:space="preserve">highly variable nature of forest fuels</w:t>
      </w:r>
      <w:r>
        <w:t xml:space="preserve"> </w:t>
      </w:r>
      <w:r>
        <w:t xml:space="preserve">(Collins et al., 2016; Keane et al., 2001, 2012)</w:t>
      </w:r>
      <w:r>
        <w:t xml:space="preserv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C:\Users\walki\AppData\Local\Programs\Quarto\share\formats\docx\caution.png" id="12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 discuss observed anomalies with HA treatment in general</w:t>
            </w:r>
          </w:p>
          <w:p>
            <w:pPr>
              <w:pStyle w:val="BodyText"/>
            </w:pPr>
            <w:r>
              <w:t xml:space="preserve">In all cases the largest observed differences involved the HA treatment. For</w:t>
            </w:r>
            <w:r>
              <w:t xml:space="preserve"> </w:t>
            </w:r>
            <w:r>
              <w:t xml:space="preserve">instance, for Duff &amp; Litter was lowest in the HA treatment and highest in the HD</w:t>
            </w:r>
            <w:r>
              <w:t xml:space="preserve"> </w:t>
            </w:r>
            <w:r>
              <w:t xml:space="preserve">treatment (p = 0.10) and this trend was paralleled by a similar trend in</w:t>
            </w:r>
            <w:r>
              <w:t xml:space="preserve"> </w:t>
            </w:r>
            <w:r>
              <w:t xml:space="preserve">vegetation fuel loading as well as in tanoak basal area.</w:t>
            </w:r>
          </w:p>
          <w:p>
            <w:pPr>
              <w:pStyle w:val="BodyText"/>
            </w:pPr>
            <w:pPr>
              <w:spacing w:after="16"/>
            </w:pPr>
            <w:r>
              <w:t xml:space="preserve">Vegetation fuel loading was lowest in the HA treatment and the greatest</w:t>
            </w:r>
            <w:r>
              <w:t xml:space="preserve"> </w:t>
            </w:r>
            <w:r>
              <w:t xml:space="preserve">difference was between the GS and HA treatments. Lower vegetation fuel</w:t>
            </w:r>
            <w:r>
              <w:t xml:space="preserve"> </w:t>
            </w:r>
            <w:r>
              <w:t xml:space="preserve">loading in the HA treatment is reflected in the tanoak basal area results for</w:t>
            </w:r>
            <w:r>
              <w:t xml:space="preserve"> </w:t>
            </w:r>
            <w:r>
              <w:t xml:space="preserve">the HA treatment, which were collected separately</w:t>
            </w:r>
          </w:p>
          <w:p/>
        </w:tc>
      </w:tr>
    </w:tbl>
    <w:p>
      <w:pPr>
        <w:pStyle w:val="BodyText"/>
      </w:pPr>
      <w:r>
        <w:t xml:space="preserve">In a study across California’s Sierra Nevada mountain range, fine fuel loading</w:t>
      </w:r>
      <w:r>
        <w:t xml:space="preserve"> </w:t>
      </w:r>
      <w:r>
        <w:t xml:space="preserve">(including 1-, 10-, and 100-hr fuels) were found to be correlated with overstory</w:t>
      </w:r>
      <w:r>
        <w:t xml:space="preserve"> </w:t>
      </w:r>
      <w:r>
        <w:t xml:space="preserve">canopy cover and proportion of shade tolerant species and associated these</w:t>
      </w:r>
      <w:r>
        <w:t xml:space="preserve"> </w:t>
      </w:r>
      <w:r>
        <w:t xml:space="preserve">conditions, which represent recent shifts in forest composition resulting from</w:t>
      </w:r>
      <w:r>
        <w:t xml:space="preserve"> </w:t>
      </w:r>
      <w:r>
        <w:t xml:space="preserve">fire suppression, with an elevated risk of high severity fire</w:t>
      </w:r>
      <w:r>
        <w:t xml:space="preserve"> </w:t>
      </w:r>
      <w:r>
        <w:t xml:space="preserve">(Collins et al., 2016)</w:t>
      </w:r>
      <w:r>
        <w:t xml:space="preserve">. The differences we observed in duff</w:t>
      </w:r>
      <w:r>
        <w:t xml:space="preserve"> </w:t>
      </w:r>
      <w:r>
        <w:t xml:space="preserve">&amp; litter, and 1-hr fuel loads could be a result of canopy cover and understory</w:t>
      </w:r>
      <w:r>
        <w:t xml:space="preserve"> </w:t>
      </w:r>
      <w:r>
        <w:t xml:space="preserve">species composition directly, but it is likely also a result of the</w:t>
      </w:r>
      <w:r>
        <w:t xml:space="preserve"> </w:t>
      </w:r>
      <w:r>
        <w:t xml:space="preserve">microclimatic differences resulting from these different stand structures. Fine</w:t>
      </w:r>
      <w:r>
        <w:t xml:space="preserve"> </w:t>
      </w:r>
      <w:r>
        <w:t xml:space="preserve">fuel loads are a function of both recruitment and decomposition and the latter</w:t>
      </w:r>
      <w:r>
        <w:t xml:space="preserve"> </w:t>
      </w:r>
      <w:r>
        <w:t xml:space="preserve">is a function of moisture and temperature</w:t>
      </w:r>
      <w:r>
        <w:t xml:space="preserve"> </w:t>
      </w:r>
      <w:r>
        <w:t xml:space="preserve">(Keane, 2008; Pillers &amp; Stuart, 1993)</w:t>
      </w:r>
      <w:r>
        <w:t xml:space="preserve">.</w:t>
      </w:r>
      <w:r>
        <w:t xml:space="preserve"> </w:t>
      </w:r>
      <w:r>
        <w:t xml:space="preserve">Forest floor conditions in the HA treatment may have been somewhat more moist</w:t>
      </w:r>
      <w:r>
        <w:t xml:space="preserve"> </w:t>
      </w:r>
      <w:r>
        <w:t xml:space="preserve">than the more open treatments due to sheltering but warmer than the HD treatment</w:t>
      </w:r>
      <w:r>
        <w:t xml:space="preserve"> </w:t>
      </w:r>
      <w:r>
        <w:t xml:space="preserve">due to greater light infiltration (e.g.,</w:t>
      </w:r>
      <w:r>
        <w:t xml:space="preserve"> </w:t>
      </w:r>
      <w:r>
        <w:t xml:space="preserve">Kane (2021)</w:t>
      </w:r>
      <w:r>
        <w:t xml:space="preserve">). While</w:t>
      </w:r>
      <w:r>
        <w:t xml:space="preserve"> </w:t>
      </w:r>
      <w:r>
        <w:t xml:space="preserve">the differences in duff &amp; litter loading we observed are not likely to have a</w:t>
      </w:r>
      <w:r>
        <w:t xml:space="preserve"> </w:t>
      </w:r>
      <w:r>
        <w:t xml:space="preserve">significant impact on fire behavior, small differences in forest floor moisture</w:t>
      </w:r>
      <w:r>
        <w:t xml:space="preserve"> </w:t>
      </w:r>
      <w:r>
        <w:t xml:space="preserve">can have significant implications for prescribed burning operations.</w:t>
      </w:r>
    </w:p>
    <w:p>
      <w:pPr>
        <w:pStyle w:val="BodyText"/>
      </w:pPr>
      <w:r>
        <w:t xml:space="preserve">For both 1-hr and vegetation fuel loading, the HA treatment was most similar to</w:t>
      </w:r>
      <w:r>
        <w:t xml:space="preserve"> </w:t>
      </w:r>
      <w:r>
        <w:t xml:space="preserve">the HD treatment. In both treatments it appears that a greater density of</w:t>
      </w:r>
      <w:r>
        <w:t xml:space="preserve"> </w:t>
      </w:r>
      <w:r>
        <w:t xml:space="preserve">overstory trees would result in more twigs and less light available for growth</w:t>
      </w:r>
      <w:r>
        <w:t xml:space="preserve"> </w:t>
      </w:r>
      <w:r>
        <w:t xml:space="preserve">of vegetation at the surface. The high density treatments had less tanoak BA and</w:t>
      </w:r>
      <w:r>
        <w:t xml:space="preserve"> </w:t>
      </w:r>
      <w:r>
        <w:t xml:space="preserve">it is likely that tanoak was largely responsible for the vegetative fuel loading</w:t>
      </w:r>
      <w:r>
        <w:t xml:space="preserve"> </w:t>
      </w:r>
      <w:r>
        <w:t xml:space="preserve">differences. Vegetation fuel loading was not recorded by species but redwood and</w:t>
      </w:r>
      <w:r>
        <w:t xml:space="preserve"> </w:t>
      </w:r>
      <w:r>
        <w:t xml:space="preserve">tanoak sprouts 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such as those found in chaparral ecosystems which</w:t>
      </w:r>
      <w:r>
        <w:t xml:space="preserve"> </w:t>
      </w:r>
      <w:r>
        <w:t xml:space="preserve">are characterized by intense, stand replacing fires suggesting high</w:t>
      </w:r>
      <w:r>
        <w:t xml:space="preserve"> </w:t>
      </w:r>
      <w:r>
        <w:t xml:space="preserve">flammability, particularly with low canopy base heights</w:t>
      </w:r>
      <w:r>
        <w:t xml:space="preserve"> </w:t>
      </w:r>
      <w:r>
        <w:t xml:space="preserve">(Fryer, 2008; McDonald, 1981)</w:t>
      </w:r>
      <w:r>
        <w:t xml:space="preserve">. And</w:t>
      </w:r>
      <w:r>
        <w:t xml:space="preserve"> </w:t>
      </w:r>
      <w:r>
        <w:t xml:space="preserve">tanoak leaf litter is among the most flammable of western hardwoods and has been</w:t>
      </w:r>
      <w:r>
        <w:t xml:space="preserve"> </w:t>
      </w:r>
      <w:r>
        <w:t xml:space="preserve">compared to that of fire adapted conifers</w:t>
      </w:r>
      <w:r>
        <w:t xml:space="preserve"> </w:t>
      </w:r>
      <w:r>
        <w:t xml:space="preserve">(Varner et al., 2017)</w:t>
      </w:r>
      <w:r>
        <w:t xml:space="preserve">. To</w:t>
      </w:r>
      <w:r>
        <w:t xml:space="preserve"> </w:t>
      </w:r>
      <w:r>
        <w:t xml:space="preserve">our knowledge, no studies have examined the flammability of live tanoak foliage</w:t>
      </w:r>
      <w:r>
        <w:t xml:space="preserve"> </w:t>
      </w:r>
      <w:r>
        <w:t xml:space="preserve">or tanoak sprouts.</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 Because of the relatively low bulk density of canopy</w:t>
      </w:r>
      <w:r>
        <w:t xml:space="preserve"> </w:t>
      </w:r>
      <w:r>
        <w:t xml:space="preserve">fuels, smaller differences in fuel load equate to larger differences in total</w:t>
      </w:r>
      <w:r>
        <w:t xml:space="preserve"> </w:t>
      </w:r>
      <w:r>
        <w:t xml:space="preserve">fuel volume and resulting fire behavior, as well as implications for aerial fuel</w:t>
      </w:r>
      <w:r>
        <w:t xml:space="preserve"> </w:t>
      </w:r>
      <w:r>
        <w:t xml:space="preserve">continuity. These factors warrant more study into the fire behavior of this</w:t>
      </w:r>
      <w:r>
        <w:t xml:space="preserve"> </w:t>
      </w:r>
      <w:r>
        <w:t xml:space="preserve">unique fuel type, including its requirements for combustion, fuel moisture, and</w:t>
      </w:r>
      <w:r>
        <w:t xml:space="preserve"> </w:t>
      </w:r>
      <w:r>
        <w:t xml:space="preserve">more precise characterization of it’s mass and bulk density.</w:t>
      </w:r>
    </w:p>
    <w:p>
      <w:pPr>
        <w:pStyle w:val="BodyText"/>
      </w:pPr>
      <w:r>
        <w:t xml:space="preserve">It was surprising that the modeled vegetation fuel loading differences</w:t>
      </w:r>
      <w:r>
        <w:t xml:space="preserve"> </w:t>
      </w:r>
      <w:r>
        <w:t xml:space="preserve">were not more clearly differentiated because our field crew’s experience was</w:t>
      </w:r>
      <w:r>
        <w:t xml:space="preserve"> </w:t>
      </w:r>
      <w:r>
        <w:t xml:space="preserve">that the GS and LD treatments were usually much more difficult to work in and</w:t>
      </w:r>
      <w:r>
        <w:t xml:space="preserve"> </w:t>
      </w:r>
      <w:r>
        <w:t xml:space="preserve">travel through due to greater understory density.</w:t>
      </w:r>
    </w:p>
    <w:p>
      <w:pPr>
        <w:pStyle w:val="BodyText"/>
      </w:pPr>
      <w:r>
        <w:t xml:space="preserve">In this study, live and dead vegetation components were combined because the focus was on</w:t>
      </w:r>
      <w:r>
        <w:t xml:space="preserve"> </w:t>
      </w:r>
      <w:r>
        <w:t xml:space="preserve">total fuel load rather than fuel moisture content. This choice allowed for a</w:t>
      </w:r>
      <w:r>
        <w:t xml:space="preserve"> </w:t>
      </w:r>
      <w:r>
        <w:t xml:space="preserve">clearer representation of the overall quantity of combustible material.</w:t>
      </w:r>
      <w:r>
        <w:t xml:space="preserve"> </w:t>
      </w:r>
      <w:r>
        <w:t xml:space="preserve">Additionally, herbaceous fuel loading was generally very low, which supported</w:t>
      </w:r>
      <w:r>
        <w:t xml:space="preserve"> </w:t>
      </w:r>
      <w:r>
        <w:t xml:space="preserve">the decision to merge herbaceous and woody loads at the transect level. By</w:t>
      </w:r>
      <w:r>
        <w:t xml:space="preserve"> </w:t>
      </w:r>
      <w:r>
        <w:t xml:space="preserve">simplifying in this way, the analysis emphasized patterns of total vegetation</w:t>
      </w:r>
      <w:r>
        <w:t xml:space="preserve"> </w:t>
      </w:r>
      <w:r>
        <w:t xml:space="preserve">loading while limiting unnecessary complexity in the analysis.</w:t>
      </w:r>
    </w:p>
    <w:bookmarkEnd w:id="129"/>
    <w:bookmarkStart w:id="130"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“suspended litter”</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Vegetative growth following thinning and harvest is an important consideration</w:t>
      </w:r>
      <w:r>
        <w:t xml:space="preserve"> </w:t>
      </w:r>
      <w:r>
        <w:t xml:space="preserve">for fire informed management. In our experiment, greater overstory retention</w:t>
      </w:r>
      <w:r>
        <w:t xml:space="preserve"> </w:t>
      </w:r>
      <w:r>
        <w:t xml:space="preserve">resulted in lower understory size and density. Therefore, 10 years of growth</w:t>
      </w:r>
      <w:r>
        <w:t xml:space="preserve"> </w:t>
      </w:r>
      <w:r>
        <w:t xml:space="preserve">(followed by PCT) led to some increase in average fine woody fuel loading,</w:t>
      </w:r>
      <w:r>
        <w:t xml:space="preserve"> </w:t>
      </w:r>
      <w:r>
        <w:t xml:space="preserve">particularly in the dense understories of the GS and LD treatments. One-hr fuels</w:t>
      </w:r>
      <w:r>
        <w:t xml:space="preserve"> </w:t>
      </w:r>
      <w:r>
        <w:t xml:space="preserve">increased most in the GS and LD treatments but there was also an unexpected</w:t>
      </w:r>
      <w:r>
        <w:t xml:space="preserve"> </w:t>
      </w:r>
      <w:r>
        <w:t xml:space="preserve">increase in 1-hr fuels in the HD treatment compared to the HA treatment which</w:t>
      </w:r>
      <w:r>
        <w:t xml:space="preserve"> </w:t>
      </w:r>
      <w:r>
        <w:t xml:space="preserve">had a negligible increase. Ten-hr fuels increased most in the GS and somewhat in</w:t>
      </w:r>
      <w:r>
        <w:t xml:space="preserve"> </w:t>
      </w:r>
      <w:r>
        <w:t xml:space="preserve">the LD treatment, reflecting the more rapid growth seen in these treatments</w:t>
      </w:r>
      <w:r>
        <w:t xml:space="preserve"> </w:t>
      </w:r>
      <w:r>
        <w:t xml:space="preserve">compared to the others.</w:t>
      </w:r>
    </w:p>
    <w:p>
      <w:pPr>
        <w:pStyle w:val="BodyText"/>
      </w:pP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 model selection process was guided by balancing parsimony, AIC, and</w:t>
      </w:r>
      <w:r>
        <w:t xml:space="preserve"> </w:t>
      </w:r>
      <w:r>
        <w:t xml:space="preserve">the production of well distributed residuals. As predicted fuel load variability</w:t>
      </w:r>
      <w:r>
        <w:t xml:space="preserve"> </w:t>
      </w:r>
      <w:r>
        <w:t xml:space="preserve">increased along with predicted fuel loads following PCT, model selection tended</w:t>
      </w:r>
      <w:r>
        <w:t xml:space="preserve"> </w:t>
      </w:r>
      <w:r>
        <w:t xml:space="preserve">towards more complex models that accounted for this variability–particularly</w:t>
      </w:r>
      <w:r>
        <w:t xml:space="preserve"> </w:t>
      </w:r>
      <w:r>
        <w:t xml:space="preserve">for 1- and 100-hr fuels.</w:t>
      </w:r>
    </w:p>
    <w:p>
      <w:pPr>
        <w:pStyle w:val="BodyText"/>
      </w:pPr>
      <w:r>
        <w:t xml:space="preserve">It can be seen from this analysis, resulting surfaces fuel conditions are</w:t>
      </w:r>
      <w:r>
        <w:t xml:space="preserve"> </w:t>
      </w:r>
      <w:r>
        <w:t xml:space="preserve">expected to be the result of a complex interaction of understory stand</w:t>
      </w:r>
      <w:r>
        <w:t xml:space="preserve"> </w:t>
      </w:r>
      <w:r>
        <w:t xml:space="preserve">productivity, overstory retention, and decomposition rate. Whether any of the</w:t>
      </w:r>
      <w:r>
        <w:t xml:space="preserve"> </w:t>
      </w:r>
      <w:r>
        <w:t xml:space="preserve">differences we observed result in a significant difference in prescribed or wild</w:t>
      </w:r>
      <w:r>
        <w:t xml:space="preserve"> </w:t>
      </w:r>
      <w:r>
        <w:t xml:space="preserve">fire will need to be tested by those disturbances. It is possible that the</w:t>
      </w:r>
      <w:r>
        <w:t xml:space="preserve"> </w:t>
      </w:r>
      <w:r>
        <w:t xml:space="preserve">elevated 10-hr loads in the GS and to a lesser degree, the LD treatments may</w:t>
      </w:r>
      <w:r>
        <w:t xml:space="preserve"> </w:t>
      </w:r>
      <w:r>
        <w:t xml:space="preserve">represent greater fuel continuity which could support prescribed fire</w:t>
      </w:r>
      <w:r>
        <w:t xml:space="preserve"> </w:t>
      </w:r>
      <w:r>
        <w:t xml:space="preserve">operations. Likewise, the HA treatment’s lower fuel loading across classes could</w:t>
      </w:r>
      <w:r>
        <w:t xml:space="preserve"> </w:t>
      </w:r>
      <w:r>
        <w:t xml:space="preserve">signify patchy fuel distribution.</w:t>
      </w:r>
    </w:p>
    <w:bookmarkEnd w:id="130"/>
    <w:bookmarkEnd w:id="131"/>
    <w:bookmarkEnd w:id="132"/>
    <w:bookmarkStart w:id="133" w:name="limitations-and-future-work"/>
    <w:p>
      <w:pPr>
        <w:pStyle w:val="Heading1"/>
      </w:pPr>
      <w:r>
        <w:t xml:space="preserve">5. Limitations and future work</w:t>
      </w:r>
    </w:p>
    <w:p>
      <w:pPr>
        <w:pStyle w:val="FirstParagraph"/>
      </w:pPr>
      <w:r>
        <w:t xml:space="preserve">Throughout this multi-faceted analysis there were several limitations that</w:t>
      </w:r>
      <w:r>
        <w:t xml:space="preserve"> </w:t>
      </w:r>
      <w:r>
        <w:t xml:space="preserve">arose.</w:t>
      </w:r>
    </w:p>
    <w:p>
      <w:pPr>
        <w:pStyle w:val="BodyText"/>
      </w:pPr>
      <w:r>
        <w:t xml:space="preserve">Basal area comparisons among treatments and with other species within a</w:t>
      </w:r>
      <w:r>
        <w:t xml:space="preserve"> </w:t>
      </w:r>
      <w:r>
        <w:t xml:space="preserve">treatment for tanoak were confounded by the fact that tanoak produced an</w:t>
      </w:r>
      <w:r>
        <w:t xml:space="preserve"> </w:t>
      </w:r>
      <w:r>
        <w:t xml:space="preserve">abundance of small diameter sprouts, especially in the HA and HD treatments</w:t>
      </w:r>
      <w:r>
        <w:t xml:space="preserve"> </w:t>
      </w:r>
      <w:r>
        <w:t xml:space="preserve">treatment (383 in HA vs 496 in HD, data not shown). Stems smaller than 2.54 cm</w:t>
      </w:r>
      <w:r>
        <w:t xml:space="preserve"> </w:t>
      </w:r>
      <w:r>
        <w:t xml:space="preserve">DBH were tallied. To facilitate basal area analysis, I assigned each of these</w:t>
      </w:r>
      <w:r>
        <w:t xml:space="preserve"> </w:t>
      </w:r>
      <w:r>
        <w:t xml:space="preserve">the possibly inaccurate midpoint diameter of 1.27 cm. Thus, the basal area of</w:t>
      </w:r>
      <w:r>
        <w:t xml:space="preserve"> </w:t>
      </w:r>
      <w:r>
        <w:t xml:space="preserve">these bushier tanaok in the HD and HA treatments may be slightly artificially</w:t>
      </w:r>
      <w:r>
        <w:t xml:space="preserve"> </w:t>
      </w:r>
      <w:r>
        <w:t xml:space="preserve">elevated. On the other hand, the general trend of treatment effect on tanaok</w:t>
      </w:r>
      <w:r>
        <w:t xml:space="preserve"> </w:t>
      </w:r>
      <w:r>
        <w:t xml:space="preserve">basal area response was mirrored in the vegetation fuel loading data which was</w:t>
      </w:r>
      <w:r>
        <w:t xml:space="preserve"> </w:t>
      </w:r>
      <w:r>
        <w:t xml:space="preserve">collected separately, lending support to the idea that the HA treatment may have</w:t>
      </w:r>
      <w:r>
        <w:t xml:space="preserve"> </w:t>
      </w:r>
      <w:r>
        <w:t xml:space="preserve">minimized tanoak sprout growth.</w:t>
      </w:r>
    </w:p>
    <w:p>
      <w:pPr>
        <w:pStyle w:val="BodyText"/>
      </w:pPr>
      <w:r>
        <w:t xml:space="preserve">In the analysis of sprout basal area, aspect would be an important consideration</w:t>
      </w:r>
      <w:r>
        <w:t xml:space="preserve"> </w:t>
      </w:r>
      <w:r>
        <w:t xml:space="preserve">for sprouts growth response. Reducing our uncertainty around redwood basal area</w:t>
      </w:r>
      <w:r>
        <w:t xml:space="preserve"> </w:t>
      </w:r>
      <w:r>
        <w:t xml:space="preserve">may require better incorporating the effect of aspect into our model. Also</w:t>
      </w:r>
      <w:r>
        <w:t xml:space="preserve"> </w:t>
      </w:r>
      <w:r>
        <w:t xml:space="preserve">regarding aspect, it seems likely that the effect of site on sprout growth was</w:t>
      </w:r>
      <w:r>
        <w:t xml:space="preserve"> </w:t>
      </w:r>
      <w:r>
        <w:t xml:space="preserve">bi-modal (due to our combination of predominately north- and south-facing site</w:t>
      </w:r>
      <w:r>
        <w:t xml:space="preserve"> </w:t>
      </w:r>
      <w:r>
        <w:t xml:space="preserve">aspects) and thus the regularization imposed by our random effects for sites</w:t>
      </w:r>
      <w:r>
        <w:t xml:space="preserve"> </w:t>
      </w:r>
      <w:r>
        <w:t xml:space="preserve">(assumed to be normally distributed) was likely inappropriate.</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including aspect</w:t>
      </w:r>
      <w:r>
        <w:t xml:space="preserve"> </w:t>
      </w:r>
      <w:r>
        <w:t xml:space="preserve">might have led to better explanatory power in our models. Our plots were</w:t>
      </w:r>
      <w:r>
        <w:t xml:space="preserve"> </w:t>
      </w:r>
      <w:r>
        <w:t xml:space="preserve">established over a range of aspects, but it is plausible that differences in</w:t>
      </w:r>
      <w:r>
        <w:t xml:space="preserve"> </w:t>
      </w:r>
      <w:r>
        <w:t xml:space="preserve">aspect outweighed differences between treatments. We had hoped that the</w:t>
      </w:r>
      <w:r>
        <w:t xml:space="preserve"> </w:t>
      </w:r>
      <w:r>
        <w:t xml:space="preserve">inclusion of site and treatment as nested random effects would have captured</w:t>
      </w:r>
      <w:r>
        <w:t xml:space="preserve"> </w:t>
      </w:r>
      <w:r>
        <w:t xml:space="preserve">site and block level differences in aspect. Additionally, aspect is largely a</w:t>
      </w:r>
      <w:r>
        <w:t xml:space="preserve"> </w:t>
      </w:r>
      <w:r>
        <w:t xml:space="preserve">proxy for insolation, and this may have also varied with shade conditions (very</w:t>
      </w:r>
      <w:r>
        <w:t xml:space="preserve"> </w:t>
      </w:r>
      <w:r>
        <w:t xml:space="preserve">large trees or road cuts) outside of the plot.</w:t>
      </w:r>
    </w:p>
    <w:p>
      <w:pPr>
        <w:pStyle w:val="BodyText"/>
      </w:pPr>
      <w:r>
        <w:t xml:space="preserve">The simple method we used probably over-estimated vegetation fuel loading,</w:t>
      </w:r>
      <w:r>
        <w:t xml:space="preserve"> </w:t>
      </w:r>
      <w:r>
        <w:t xml:space="preserve">evidenced by the fact that the large fuel loading differences measured for the</w:t>
      </w:r>
      <w:r>
        <w:t xml:space="preserve"> </w:t>
      </w:r>
      <w:r>
        <w:t xml:space="preserve">vegetation class are not reflected in the increase in fine fuels following PCT.</w:t>
      </w:r>
      <w:r>
        <w:t xml:space="preserve"> </w:t>
      </w:r>
      <w:r>
        <w:t xml:space="preserve">Although the contribution of slash foliage is not accounted for, it appears our</w:t>
      </w:r>
      <w:r>
        <w:t xml:space="preserve"> </w:t>
      </w:r>
      <w:r>
        <w:t xml:space="preserve">method may have over predicted vegetation loading by around a factor of three</w:t>
      </w:r>
      <w:r>
        <w:t xml:space="preserve"> </w:t>
      </w:r>
      <w:r>
        <w:t xml:space="preserve">under the assumption that the majority of the difference in vegetation fuels</w:t>
      </w:r>
      <w:r>
        <w:t xml:space="preserve"> </w:t>
      </w:r>
      <w:r>
        <w:t xml:space="preserve">should be captured by the sum of the differences in fine fuels.</w:t>
      </w:r>
    </w:p>
    <w:p>
      <w:pPr>
        <w:pStyle w:val="BodyText"/>
      </w:pPr>
      <w:r>
        <w:t xml:space="preserve">An important consideration for redwood sprouts in this experiment is that after</w:t>
      </w:r>
      <w:r>
        <w:t xml:space="preserve"> </w:t>
      </w:r>
      <w:r>
        <w:t xml:space="preserve">thinning, a fraction of existing sprouts will be retained. The retained sprouts</w:t>
      </w:r>
      <w:r>
        <w:t xml:space="preserve"> </w:t>
      </w:r>
      <w:r>
        <w:t xml:space="preserve">will generally be the largest and most vigorous. An interesting question that is</w:t>
      </w:r>
      <w:r>
        <w:t xml:space="preserve"> </w:t>
      </w:r>
      <w:r>
        <w:t xml:space="preserve">overlooked by our focus on the total basal area of sprout regeneration is if any</w:t>
      </w:r>
      <w:r>
        <w:t xml:space="preserve"> </w:t>
      </w:r>
      <w:r>
        <w:t xml:space="preserve">treatment produced larger individuals that would eventually be selected for</w:t>
      </w:r>
      <w:r>
        <w:t xml:space="preserve"> </w:t>
      </w:r>
      <w:r>
        <w:t xml:space="preserve">retention.</w:t>
      </w:r>
    </w:p>
    <w:p>
      <w:pPr>
        <w:pStyle w:val="BodyText"/>
      </w:pPr>
      <w:r>
        <w:t xml:space="preserve">Surface fuel moisture and wind speed are two</w:t>
      </w:r>
      <w:r>
        <w:t xml:space="preserve"> </w:t>
      </w:r>
      <w:r>
        <w:t xml:space="preserve">variables which we did not study but which have a strong influence on fire</w:t>
      </w:r>
      <w:r>
        <w:t xml:space="preserve"> </w:t>
      </w:r>
      <w:r>
        <w:t xml:space="preserve">behavior and are also affected by overstory density and arrangement. Given the</w:t>
      </w:r>
      <w:r>
        <w:t xml:space="preserve"> </w:t>
      </w:r>
      <w:r>
        <w:t xml:space="preserve">relatively modest difference we observed in fuel loads, it seems likely that</w:t>
      </w:r>
      <w:r>
        <w:t xml:space="preserve"> </w:t>
      </w:r>
      <w:r>
        <w:t xml:space="preserve">those unmeasured factors would have a greater bearing on fire outcomes.</w:t>
      </w:r>
    </w:p>
    <w:bookmarkEnd w:id="133"/>
    <w:bookmarkStart w:id="134" w:name="conclusions"/>
    <w:p>
      <w:pPr>
        <w:pStyle w:val="Heading1"/>
      </w:pPr>
      <w:r>
        <w:t xml:space="preserve">6. Conclusions</w:t>
      </w:r>
    </w:p>
    <w:bookmarkEnd w:id="134"/>
    <w:bookmarkStart w:id="321" w:name="references-1"/>
    <w:p>
      <w:pPr>
        <w:pStyle w:val="Heading1"/>
      </w:pPr>
      <w:r>
        <w:t xml:space="preserve">7. References</w:t>
      </w:r>
    </w:p>
    <w:bookmarkStart w:id="320" w:name="refs"/>
    <w:bookmarkStart w:id="136" w:name="ref-ageeBasicPrinciplesForest2005"/>
    <w:p>
      <w:pPr>
        <w:pStyle w:val="Bibliography"/>
      </w:pPr>
      <w:r>
        <w:t xml:space="preserve">Agee, J. K., &amp; Skinner, C. N. (2005). Basic principles of forest fuel reduction treatments.</w:t>
      </w:r>
      <w:r>
        <w:t xml:space="preserve"> </w:t>
      </w:r>
      <w:r>
        <w:rPr>
          <w:i/>
          <w:iCs/>
        </w:rPr>
        <w:t xml:space="preserve">Forest Ecology and Management</w:t>
      </w:r>
      <w:r>
        <w:t xml:space="preserve">,</w:t>
      </w:r>
      <w:r>
        <w:t xml:space="preserve"> </w:t>
      </w:r>
      <w:r>
        <w:rPr>
          <w:i/>
          <w:iCs/>
        </w:rPr>
        <w:t xml:space="preserve">211</w:t>
      </w:r>
      <w:r>
        <w:t xml:space="preserve">(1–2), 83–96.</w:t>
      </w:r>
      <w:r>
        <w:t xml:space="preserve"> </w:t>
      </w:r>
      <w:hyperlink r:id="rId135">
        <w:r>
          <w:rPr>
            <w:rStyle w:val="Hyperlink"/>
          </w:rPr>
          <w:t xml:space="preserve">https://doi.org/10.1016/j.foreco.2005.01.034</w:t>
        </w:r>
      </w:hyperlink>
    </w:p>
    <w:bookmarkEnd w:id="136"/>
    <w:bookmarkStart w:id="137" w:name="ref-andersonTendingWildNative2013"/>
    <w:p>
      <w:pPr>
        <w:pStyle w:val="Bibliography"/>
      </w:pPr>
      <w:r>
        <w:t xml:space="preserve">Anderson, M. K. (2013).</w:t>
      </w:r>
      <w:r>
        <w:t xml:space="preserve"> </w:t>
      </w:r>
      <w:r>
        <w:rPr>
          <w:i/>
          <w:iCs/>
        </w:rPr>
        <w:t xml:space="preserve">Tending the</w:t>
      </w:r>
      <w:r>
        <w:rPr>
          <w:i/>
          <w:iCs/>
        </w:rPr>
        <w:t xml:space="preserve"> </w:t>
      </w:r>
      <w:r>
        <w:rPr>
          <w:i/>
          <w:iCs/>
        </w:rPr>
        <w:t xml:space="preserve">Wild</w:t>
      </w:r>
      <w:r>
        <w:rPr>
          <w:i/>
          <w:iCs/>
        </w:rPr>
        <w:t xml:space="preserve">:</w:t>
      </w:r>
      <w:r>
        <w:rPr>
          <w:i/>
          <w:iCs/>
        </w:rPr>
        <w:t xml:space="preserve"> </w:t>
      </w:r>
      <w:r>
        <w:rPr>
          <w:i/>
          <w:iCs/>
        </w:rPr>
        <w:t xml:space="preserve">Native American Knowledge</w:t>
      </w:r>
      <w:r>
        <w:rPr>
          <w:i/>
          <w:iCs/>
        </w:rPr>
        <w:t xml:space="preserve"> </w:t>
      </w:r>
      <w:r>
        <w:rPr>
          <w:i/>
          <w:iCs/>
        </w:rPr>
        <w:t xml:space="preserve">and the</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California</w:t>
      </w:r>
      <w:r>
        <w:rPr>
          <w:i/>
          <w:iCs/>
        </w:rPr>
        <w:t xml:space="preserve">’s</w:t>
      </w:r>
      <w:r>
        <w:rPr>
          <w:i/>
          <w:iCs/>
        </w:rPr>
        <w:t xml:space="preserve"> </w:t>
      </w:r>
      <w:r>
        <w:rPr>
          <w:i/>
          <w:iCs/>
        </w:rPr>
        <w:t xml:space="preserve">Natural Resources</w:t>
      </w:r>
      <w:r>
        <w:t xml:space="preserve">.</w:t>
      </w:r>
    </w:p>
    <w:bookmarkEnd w:id="137"/>
    <w:bookmarkStart w:id="138"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
          <w:iCs/>
        </w:rPr>
        <w:t xml:space="preserve">Assessing</w:t>
      </w:r>
      <w:r>
        <w:rPr>
          <w:i/>
          <w:iCs/>
        </w:rPr>
        <w:t xml:space="preserve"> </w:t>
      </w:r>
      <w:r>
        <w:rPr>
          <w:i/>
          <w:iCs/>
        </w:rPr>
        <w:t xml:space="preserve">Forest Ecosystem Health</w:t>
      </w:r>
      <w:r>
        <w:rPr>
          <w:i/>
          <w:iCs/>
        </w:rPr>
        <w:t xml:space="preserve"> </w:t>
      </w:r>
      <w:r>
        <w:rPr>
          <w:i/>
          <w:iCs/>
        </w:rPr>
        <w:t xml:space="preserve">in the</w:t>
      </w:r>
      <w:r>
        <w:rPr>
          <w:i/>
          <w:iCs/>
        </w:rPr>
        <w:t xml:space="preserve"> </w:t>
      </w:r>
      <w:r>
        <w:rPr>
          <w:i/>
          <w:iCs/>
        </w:rPr>
        <w:t xml:space="preserve">Inland West</w:t>
      </w:r>
      <w:r>
        <w:t xml:space="preserve">. Routledge.</w:t>
      </w:r>
    </w:p>
    <w:bookmarkEnd w:id="138"/>
    <w:bookmarkStart w:id="140"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
          <w:iCs/>
        </w:rPr>
        <w:t xml:space="preserve">Journal of Statistical Software</w:t>
      </w:r>
      <w:r>
        <w:t xml:space="preserve">,</w:t>
      </w:r>
      <w:r>
        <w:t xml:space="preserve"> </w:t>
      </w:r>
      <w:r>
        <w:rPr>
          <w:i/>
          <w:iCs/>
        </w:rPr>
        <w:t xml:space="preserve">111</w:t>
      </w:r>
      <w:r>
        <w:t xml:space="preserve">(9), 1–32.</w:t>
      </w:r>
      <w:r>
        <w:t xml:space="preserve"> </w:t>
      </w:r>
      <w:hyperlink r:id="rId139">
        <w:r>
          <w:rPr>
            <w:rStyle w:val="Hyperlink"/>
          </w:rPr>
          <w:t xml:space="preserve">https://doi.org/10.18637/jss.v111.i09</w:t>
        </w:r>
      </w:hyperlink>
    </w:p>
    <w:bookmarkEnd w:id="140"/>
    <w:bookmarkStart w:id="142"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
          <w:iCs/>
        </w:rPr>
        <w:t xml:space="preserve">Forest Ecology and Management</w:t>
      </w:r>
      <w:r>
        <w:t xml:space="preserve">,</w:t>
      </w:r>
      <w:r>
        <w:t xml:space="preserve"> </w:t>
      </w:r>
      <w:r>
        <w:rPr>
          <w:i/>
          <w:iCs/>
        </w:rPr>
        <w:t xml:space="preserve">257</w:t>
      </w:r>
      <w:r>
        <w:t xml:space="preserve">(4), 1305–1313.</w:t>
      </w:r>
      <w:r>
        <w:t xml:space="preserve"> </w:t>
      </w:r>
      <w:hyperlink r:id="rId141">
        <w:r>
          <w:rPr>
            <w:rStyle w:val="Hyperlink"/>
          </w:rPr>
          <w:t xml:space="preserve">https://doi.org/10.1016/j.foreco.2008.11.028</w:t>
        </w:r>
      </w:hyperlink>
    </w:p>
    <w:bookmarkEnd w:id="142"/>
    <w:bookmarkStart w:id="143" w:name="ref-barrettModelThirdGrowth1988"/>
    <w:p>
      <w:pPr>
        <w:pStyle w:val="Bibliography"/>
      </w:pPr>
      <w:r>
        <w:t xml:space="preserve">Barrett, M. M. (1988).</w:t>
      </w:r>
      <w:r>
        <w:t xml:space="preserve"> </w:t>
      </w:r>
      <w:r>
        <w:rPr>
          <w:i/>
          <w:iCs/>
        </w:rPr>
        <w:t xml:space="preserve">A model of third growth coastal redwood sprout establishment and growth under various levels of overstory removal</w:t>
      </w:r>
      <w:r>
        <w:t xml:space="preserve"> </w:t>
      </w:r>
      <w:r>
        <w:t xml:space="preserve">[Master’s thesis]. Humboldt State University.</w:t>
      </w:r>
    </w:p>
    <w:bookmarkEnd w:id="143"/>
    <w:bookmarkStart w:id="144" w:name="ref-barretteRedwoodSproutsJackson1966"/>
    <w:p>
      <w:pPr>
        <w:pStyle w:val="Bibliography"/>
      </w:pPr>
      <w:r>
        <w:t xml:space="preserve">Barrette, B. R. (1966).</w:t>
      </w:r>
      <w:r>
        <w:t xml:space="preserve"> </w:t>
      </w:r>
      <w:r>
        <w:rPr>
          <w:i/>
          <w:iCs/>
        </w:rPr>
        <w:t xml:space="preserve">Redwood sprouts on</w:t>
      </w:r>
      <w:r>
        <w:rPr>
          <w:i/>
          <w:iCs/>
        </w:rPr>
        <w:t xml:space="preserve"> </w:t>
      </w:r>
      <w:r>
        <w:rPr>
          <w:i/>
          <w:iCs/>
        </w:rPr>
        <w:t xml:space="preserve">Jackson State Forest</w:t>
      </w:r>
      <w:r>
        <w:t xml:space="preserve"> </w:t>
      </w:r>
      <w:r>
        <w:t xml:space="preserve">(Forest Notes 29; p. 8). California Division of Forestry.</w:t>
      </w:r>
    </w:p>
    <w:bookmarkEnd w:id="144"/>
    <w:bookmarkStart w:id="146"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
          <w:iCs/>
        </w:rPr>
        <w:t xml:space="preserve">Ecological Processes</w:t>
      </w:r>
      <w:r>
        <w:t xml:space="preserve">,</w:t>
      </w:r>
      <w:r>
        <w:t xml:space="preserve"> </w:t>
      </w:r>
      <w:r>
        <w:rPr>
          <w:i/>
          <w:iCs/>
        </w:rPr>
        <w:t xml:space="preserve">8</w:t>
      </w:r>
      <w:r>
        <w:t xml:space="preserve">(1), 33.</w:t>
      </w:r>
      <w:r>
        <w:t xml:space="preserve"> </w:t>
      </w:r>
      <w:hyperlink r:id="rId145">
        <w:r>
          <w:rPr>
            <w:rStyle w:val="Hyperlink"/>
          </w:rPr>
          <w:t xml:space="preserve">https://doi.org/10.1186/s13717-019-0181-9</w:t>
        </w:r>
      </w:hyperlink>
    </w:p>
    <w:bookmarkEnd w:id="146"/>
    <w:bookmarkStart w:id="148" w:name="ref-berrillPatternsLeafArea2007"/>
    <w:p>
      <w:pPr>
        <w:pStyle w:val="Bibliography"/>
      </w:pPr>
      <w:r>
        <w:t xml:space="preserve">Berrill, J.-P., &amp; O’Hara, K. L. (2007). Patterns of leaf area and growing space efficiency in young even-aged and multiaged coast redwood stands.</w:t>
      </w:r>
      <w:r>
        <w:t xml:space="preserve"> </w:t>
      </w:r>
      <w:r>
        <w:rPr>
          <w:i/>
          <w:iCs/>
        </w:rPr>
        <w:t xml:space="preserve">Canadian Journal of Forest Research</w:t>
      </w:r>
      <w:r>
        <w:t xml:space="preserve">,</w:t>
      </w:r>
      <w:r>
        <w:t xml:space="preserve"> </w:t>
      </w:r>
      <w:r>
        <w:rPr>
          <w:i/>
          <w:iCs/>
        </w:rPr>
        <w:t xml:space="preserve">37</w:t>
      </w:r>
      <w:r>
        <w:t xml:space="preserve">(3), 617–626.</w:t>
      </w:r>
      <w:r>
        <w:t xml:space="preserve"> </w:t>
      </w:r>
      <w:hyperlink r:id="rId147">
        <w:r>
          <w:rPr>
            <w:rStyle w:val="Hyperlink"/>
          </w:rPr>
          <w:t xml:space="preserve">https://doi.org/10.1139/X06-271</w:t>
        </w:r>
      </w:hyperlink>
    </w:p>
    <w:bookmarkEnd w:id="148"/>
    <w:bookmarkStart w:id="150"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
          <w:iCs/>
        </w:rPr>
        <w:t xml:space="preserve">Western Journal of Applied Forestry</w:t>
      </w:r>
      <w:r>
        <w:t xml:space="preserve">,</w:t>
      </w:r>
      <w:r>
        <w:t xml:space="preserve"> </w:t>
      </w:r>
      <w:r>
        <w:rPr>
          <w:i/>
          <w:iCs/>
        </w:rPr>
        <w:t xml:space="preserve">24</w:t>
      </w:r>
      <w:r>
        <w:t xml:space="preserve">(1), 24–32.</w:t>
      </w:r>
      <w:r>
        <w:t xml:space="preserve"> </w:t>
      </w:r>
      <w:hyperlink r:id="rId149">
        <w:r>
          <w:rPr>
            <w:rStyle w:val="Hyperlink"/>
          </w:rPr>
          <w:t xml:space="preserve">https://doi.org/10.1093/wjaf/24.1.24</w:t>
        </w:r>
      </w:hyperlink>
    </w:p>
    <w:bookmarkEnd w:id="150"/>
    <w:bookmarkStart w:id="152"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
          <w:iCs/>
        </w:rPr>
        <w:t xml:space="preserve">Gen. Tech. Rep. PSW-GTR-258. Albany, CA: U.S. Department of Agriculture, Forest Service, Pacific Southwest Research Station</w:t>
      </w:r>
      <w:r>
        <w:t xml:space="preserve">,</w:t>
      </w:r>
      <w:r>
        <w:t xml:space="preserve"> </w:t>
      </w:r>
      <w:r>
        <w:rPr>
          <w:i/>
          <w:iCs/>
        </w:rPr>
        <w:t xml:space="preserve">258</w:t>
      </w:r>
      <w:r>
        <w:t xml:space="preserve">, 326–328.</w:t>
      </w:r>
      <w:r>
        <w:t xml:space="preserve"> </w:t>
      </w:r>
      <w:hyperlink r:id="rId151">
        <w:r>
          <w:rPr>
            <w:rStyle w:val="Hyperlink"/>
          </w:rPr>
          <w:t xml:space="preserve">https://www.fs.usda.gov/treesearch/pubs/55449</w:t>
        </w:r>
      </w:hyperlink>
    </w:p>
    <w:bookmarkEnd w:id="152"/>
    <w:bookmarkStart w:id="154"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
          <w:iCs/>
        </w:rPr>
        <w:t xml:space="preserve">New Forests</w:t>
      </w:r>
      <w:r>
        <w:t xml:space="preserve">,</w:t>
      </w:r>
      <w:r>
        <w:t xml:space="preserve"> </w:t>
      </w:r>
      <w:r>
        <w:rPr>
          <w:i/>
          <w:iCs/>
        </w:rPr>
        <w:t xml:space="preserve">49</w:t>
      </w:r>
      <w:r>
        <w:t xml:space="preserve">(6), 815–828.</w:t>
      </w:r>
      <w:r>
        <w:t xml:space="preserve"> </w:t>
      </w:r>
      <w:hyperlink r:id="rId153">
        <w:r>
          <w:rPr>
            <w:rStyle w:val="Hyperlink"/>
          </w:rPr>
          <w:t xml:space="preserve">https://doi.org/10.1007/s11056-018-9636-6</w:t>
        </w:r>
      </w:hyperlink>
    </w:p>
    <w:bookmarkEnd w:id="154"/>
    <w:bookmarkStart w:id="156" w:name="X29ca00c17eefcac151e447fb8b6f81d869831e1"/>
    <w:p>
      <w:pPr>
        <w:pStyle w:val="Bibliography"/>
      </w:pPr>
      <w:r>
        <w:t xml:space="preserve">Berrill, J.-P., Webb, L. A., DeYoung, K. L., Dagley, C. M., Bodle, C. G., &amp; Simpson, S. M. (2021). Development of redwood regeneration after conifer partial harvest and hardwood management.</w:t>
      </w:r>
      <w:r>
        <w:t xml:space="preserve"> </w:t>
      </w:r>
      <w:r>
        <w:rPr>
          <w:i/>
          <w:iCs/>
        </w:rPr>
        <w:t xml:space="preserve">Forest Science</w:t>
      </w:r>
      <w:r>
        <w:t xml:space="preserve">,</w:t>
      </w:r>
      <w:r>
        <w:t xml:space="preserve"> </w:t>
      </w:r>
      <w:r>
        <w:rPr>
          <w:i/>
          <w:iCs/>
        </w:rPr>
        <w:t xml:space="preserve">67</w:t>
      </w:r>
      <w:r>
        <w:t xml:space="preserve">(1), 72–82.</w:t>
      </w:r>
      <w:r>
        <w:t xml:space="preserve"> </w:t>
      </w:r>
      <w:hyperlink r:id="rId155">
        <w:r>
          <w:rPr>
            <w:rStyle w:val="Hyperlink"/>
          </w:rPr>
          <w:t xml:space="preserve">https://doi.org/10.1093/forsci/fxaa031</w:t>
        </w:r>
      </w:hyperlink>
    </w:p>
    <w:bookmarkEnd w:id="156"/>
    <w:bookmarkStart w:id="157" w:name="ref-boeNaturalSeedlingsSprouts1975"/>
    <w:p>
      <w:pPr>
        <w:pStyle w:val="Bibliography"/>
      </w:pPr>
      <w:r>
        <w:t xml:space="preserve">Boe, K. N. (1975).</w:t>
      </w:r>
      <w:r>
        <w:t xml:space="preserve"> </w:t>
      </w:r>
      <w:r>
        <w:rPr>
          <w:i/>
          <w:iCs/>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7"/>
    <w:bookmarkStart w:id="158" w:name="ref-bowcuttTanoakTargetRise2011"/>
    <w:p>
      <w:pPr>
        <w:pStyle w:val="Bibliography"/>
      </w:pPr>
      <w:r>
        <w:t xml:space="preserve">Bowcutt, F. (2011). Tanoak target: The rise and fall of herbicide use on a common native tree.</w:t>
      </w:r>
      <w:r>
        <w:t xml:space="preserve"> </w:t>
      </w:r>
      <w:r>
        <w:rPr>
          <w:i/>
          <w:iCs/>
        </w:rPr>
        <w:t xml:space="preserve">Environmental History</w:t>
      </w:r>
      <w:r>
        <w:t xml:space="preserve">,</w:t>
      </w:r>
      <w:r>
        <w:t xml:space="preserve"> </w:t>
      </w:r>
      <w:r>
        <w:rPr>
          <w:i/>
          <w:iCs/>
        </w:rPr>
        <w:t xml:space="preserve">16</w:t>
      </w:r>
      <w:r>
        <w:t xml:space="preserve">(2), 197–225.</w:t>
      </w:r>
    </w:p>
    <w:bookmarkEnd w:id="158"/>
    <w:bookmarkStart w:id="160"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
          <w:iCs/>
        </w:rPr>
        <w:t xml:space="preserve">The R Journal</w:t>
      </w:r>
      <w:r>
        <w:t xml:space="preserve">,</w:t>
      </w:r>
      <w:r>
        <w:t xml:space="preserve"> </w:t>
      </w:r>
      <w:r>
        <w:rPr>
          <w:i/>
          <w:iCs/>
        </w:rPr>
        <w:t xml:space="preserve">9</w:t>
      </w:r>
      <w:r>
        <w:t xml:space="preserve">(2), 378–400.</w:t>
      </w:r>
      <w:r>
        <w:t xml:space="preserve"> </w:t>
      </w:r>
      <w:hyperlink r:id="rId159">
        <w:r>
          <w:rPr>
            <w:rStyle w:val="Hyperlink"/>
          </w:rPr>
          <w:t xml:space="preserve">https://doi.org/10.32614/RJ-2017-066</w:t>
        </w:r>
      </w:hyperlink>
    </w:p>
    <w:bookmarkEnd w:id="160"/>
    <w:bookmarkStart w:id="161" w:name="ref-brownHandbookInventoryingDowned1974"/>
    <w:p>
      <w:pPr>
        <w:pStyle w:val="Bibliography"/>
      </w:pPr>
      <w:r>
        <w:t xml:space="preserve">Brown, J. K. (1974). Handbook for inventorying downed woody material.</w:t>
      </w:r>
      <w:r>
        <w:t xml:space="preserve"> </w:t>
      </w:r>
      <w:r>
        <w:rPr>
          <w:i/>
          <w:iCs/>
        </w:rPr>
        <w:t xml:space="preserve">Gen. Tech. Rep. INT-16. Ogden, UT: US Department of Agriculture, Forest Service, Intermountain Forest and Range Experiment Station. 24 p.</w:t>
      </w:r>
      <w:r>
        <w:t xml:space="preserve">,</w:t>
      </w:r>
      <w:r>
        <w:t xml:space="preserve"> </w:t>
      </w:r>
      <w:r>
        <w:rPr>
          <w:i/>
          <w:iCs/>
        </w:rPr>
        <w:t xml:space="preserve">16</w:t>
      </w:r>
      <w:r>
        <w:t xml:space="preserve">.</w:t>
      </w:r>
    </w:p>
    <w:bookmarkEnd w:id="161"/>
    <w:bookmarkStart w:id="163"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
          <w:iCs/>
        </w:rPr>
        <w:t xml:space="preserve">Forest Ecology and Management</w:t>
      </w:r>
      <w:r>
        <w:t xml:space="preserve">,</w:t>
      </w:r>
      <w:r>
        <w:t xml:space="preserve"> </w:t>
      </w:r>
      <w:r>
        <w:rPr>
          <w:i/>
          <w:iCs/>
        </w:rPr>
        <w:t xml:space="preserve">520</w:t>
      </w:r>
      <w:r>
        <w:t xml:space="preserve">, 120353.</w:t>
      </w:r>
      <w:r>
        <w:t xml:space="preserve"> </w:t>
      </w:r>
      <w:hyperlink r:id="rId162">
        <w:r>
          <w:rPr>
            <w:rStyle w:val="Hyperlink"/>
          </w:rPr>
          <w:t xml:space="preserve">https://doi.org/10.1016/j.foreco.2022.120353</w:t>
        </w:r>
      </w:hyperlink>
    </w:p>
    <w:bookmarkEnd w:id="163"/>
    <w:bookmarkStart w:id="165"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
          <w:iCs/>
        </w:rPr>
        <w:t xml:space="preserve">Forest Ecology and Management</w:t>
      </w:r>
      <w:r>
        <w:t xml:space="preserve">,</w:t>
      </w:r>
      <w:r>
        <w:t xml:space="preserve"> </w:t>
      </w:r>
      <w:r>
        <w:rPr>
          <w:i/>
          <w:iCs/>
        </w:rPr>
        <w:t xml:space="preserve">381</w:t>
      </w:r>
      <w:r>
        <w:t xml:space="preserve">, 74–83.</w:t>
      </w:r>
      <w:r>
        <w:t xml:space="preserve"> </w:t>
      </w:r>
      <w:hyperlink r:id="rId164">
        <w:r>
          <w:rPr>
            <w:rStyle w:val="Hyperlink"/>
          </w:rPr>
          <w:t xml:space="preserve">https://doi.org/10.1016/j.foreco.2016.09.010</w:t>
        </w:r>
      </w:hyperlink>
    </w:p>
    <w:bookmarkEnd w:id="165"/>
    <w:bookmarkStart w:id="167"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
          <w:iCs/>
        </w:rPr>
        <w:t xml:space="preserve">Restoration Ecology</w:t>
      </w:r>
      <w:r>
        <w:t xml:space="preserve">,</w:t>
      </w:r>
      <w:r>
        <w:t xml:space="preserve"> </w:t>
      </w:r>
      <w:r>
        <w:rPr>
          <w:i/>
          <w:iCs/>
        </w:rPr>
        <w:t xml:space="preserve">26</w:t>
      </w:r>
      <w:r>
        <w:t xml:space="preserve">(6), 1170–1179.</w:t>
      </w:r>
      <w:r>
        <w:t xml:space="preserve"> </w:t>
      </w:r>
      <w:hyperlink r:id="rId166">
        <w:r>
          <w:rPr>
            <w:rStyle w:val="Hyperlink"/>
          </w:rPr>
          <w:t xml:space="preserve">https://doi.org/10.1111/rec.12681</w:t>
        </w:r>
      </w:hyperlink>
    </w:p>
    <w:bookmarkEnd w:id="167"/>
    <w:bookmarkStart w:id="169"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
          <w:iCs/>
        </w:rPr>
        <w:t xml:space="preserve">Canadian Journal of Forest Research</w:t>
      </w:r>
      <w:r>
        <w:t xml:space="preserve">,</w:t>
      </w:r>
      <w:r>
        <w:t xml:space="preserve"> </w:t>
      </w:r>
      <w:r>
        <w:rPr>
          <w:i/>
          <w:iCs/>
        </w:rPr>
        <w:t xml:space="preserve">53</w:t>
      </w:r>
      <w:r>
        <w:t xml:space="preserve">(8), 579–590.</w:t>
      </w:r>
      <w:r>
        <w:t xml:space="preserve"> </w:t>
      </w:r>
      <w:hyperlink r:id="rId168">
        <w:r>
          <w:rPr>
            <w:rStyle w:val="Hyperlink"/>
          </w:rPr>
          <w:t xml:space="preserve">https://doi.org/10.1139/cjfr-2022-0214</w:t>
        </w:r>
      </w:hyperlink>
    </w:p>
    <w:bookmarkEnd w:id="169"/>
    <w:bookmarkStart w:id="171"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
          <w:iCs/>
        </w:rPr>
        <w:t xml:space="preserve">The Botanical Review</w:t>
      </w:r>
      <w:r>
        <w:t xml:space="preserve">,</w:t>
      </w:r>
      <w:r>
        <w:t xml:space="preserve"> </w:t>
      </w:r>
      <w:r>
        <w:rPr>
          <w:i/>
          <w:iCs/>
        </w:rPr>
        <w:t xml:space="preserve">67</w:t>
      </w:r>
      <w:r>
        <w:t xml:space="preserve">(2), 121–140.</w:t>
      </w:r>
      <w:r>
        <w:t xml:space="preserve"> </w:t>
      </w:r>
      <w:hyperlink r:id="rId170">
        <w:r>
          <w:rPr>
            <w:rStyle w:val="Hyperlink"/>
          </w:rPr>
          <w:t xml:space="preserve">https://doi.org/10.1007/BF02858075</w:t>
        </w:r>
      </w:hyperlink>
    </w:p>
    <w:bookmarkEnd w:id="171"/>
    <w:bookmarkStart w:id="173"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
          <w:iCs/>
        </w:rPr>
        <w:t xml:space="preserve">Canadian Journal of Forest Research</w:t>
      </w:r>
      <w:r>
        <w:t xml:space="preserve">,</w:t>
      </w:r>
      <w:r>
        <w:t xml:space="preserve"> </w:t>
      </w:r>
      <w:r>
        <w:rPr>
          <w:i/>
          <w:iCs/>
        </w:rPr>
        <w:t xml:space="preserve">26</w:t>
      </w:r>
      <w:r>
        <w:t xml:space="preserve">(4), 573–583.</w:t>
      </w:r>
      <w:r>
        <w:t xml:space="preserve"> </w:t>
      </w:r>
      <w:hyperlink r:id="rId172">
        <w:r>
          <w:rPr>
            <w:rStyle w:val="Hyperlink"/>
          </w:rPr>
          <w:t xml:space="preserve">https://doi.org/10.1139/x26-066</w:t>
        </w:r>
      </w:hyperlink>
    </w:p>
    <w:bookmarkEnd w:id="173"/>
    <w:bookmarkStart w:id="174" w:name="ref-finneyFuelLoadingBulk1993"/>
    <w:p>
      <w:pPr>
        <w:pStyle w:val="Bibliography"/>
      </w:pPr>
      <w:r>
        <w:t xml:space="preserve">Finney, M. A., &amp; Martin, R. E. (1993a). Fuel loading, bulk density, and depth of forest floor in coast redwood stands.</w:t>
      </w:r>
      <w:r>
        <w:t xml:space="preserve"> </w:t>
      </w:r>
      <w:r>
        <w:rPr>
          <w:i/>
          <w:iCs/>
        </w:rPr>
        <w:t xml:space="preserve">Forest Science</w:t>
      </w:r>
      <w:r>
        <w:t xml:space="preserve">,</w:t>
      </w:r>
      <w:r>
        <w:t xml:space="preserve"> </w:t>
      </w:r>
      <w:r>
        <w:rPr>
          <w:i/>
          <w:iCs/>
        </w:rPr>
        <w:t xml:space="preserve">39</w:t>
      </w:r>
      <w:r>
        <w:t xml:space="preserve">(3), 617–622.</w:t>
      </w:r>
    </w:p>
    <w:bookmarkEnd w:id="174"/>
    <w:bookmarkStart w:id="176" w:name="ref-finneyModelingEffectsPrescribed1993"/>
    <w:p>
      <w:pPr>
        <w:pStyle w:val="Bibliography"/>
      </w:pPr>
      <w:r>
        <w:t xml:space="preserve">Finney, M. A., &amp; Martin, R. E. (1993b). Modeling effects of prescribed fire on young-growth coast redwood trees.</w:t>
      </w:r>
      <w:r>
        <w:t xml:space="preserve"> </w:t>
      </w:r>
      <w:r>
        <w:rPr>
          <w:i/>
          <w:iCs/>
        </w:rPr>
        <w:t xml:space="preserve">Canadian Journal of Forest Research</w:t>
      </w:r>
      <w:r>
        <w:t xml:space="preserve">,</w:t>
      </w:r>
      <w:r>
        <w:t xml:space="preserve"> </w:t>
      </w:r>
      <w:r>
        <w:rPr>
          <w:i/>
          <w:iCs/>
        </w:rPr>
        <w:t xml:space="preserve">23</w:t>
      </w:r>
      <w:r>
        <w:t xml:space="preserve">(6), 1125–1135.</w:t>
      </w:r>
      <w:r>
        <w:t xml:space="preserve"> </w:t>
      </w:r>
      <w:hyperlink r:id="rId175">
        <w:r>
          <w:rPr>
            <w:rStyle w:val="Hyperlink"/>
          </w:rPr>
          <w:t xml:space="preserve">https://doi.org/10.1139/x93-143</w:t>
        </w:r>
      </w:hyperlink>
    </w:p>
    <w:bookmarkEnd w:id="176"/>
    <w:bookmarkStart w:id="177" w:name="ref-finneyWildlandFireBehaviour2021"/>
    <w:p>
      <w:pPr>
        <w:pStyle w:val="Bibliography"/>
      </w:pPr>
      <w:r>
        <w:t xml:space="preserve">Finney, M. A., McAllister, S. S., Grumstrup, T. P., &amp; Forthofer, J. M. (2021).</w:t>
      </w:r>
      <w:r>
        <w:t xml:space="preserve"> </w:t>
      </w:r>
      <w:r>
        <w:rPr>
          <w:i/>
          <w:iCs/>
        </w:rPr>
        <w:t xml:space="preserve">Wildland fire behaviour: Dynamics, principles and processes</w:t>
      </w:r>
      <w:r>
        <w:t xml:space="preserve">. CSIRO Publishing.</w:t>
      </w:r>
    </w:p>
    <w:bookmarkEnd w:id="177"/>
    <w:bookmarkStart w:id="178" w:name="X931487919ec4bf6cf170c96cc14a176e58468f6"/>
    <w:p>
      <w:pPr>
        <w:pStyle w:val="Bibliography"/>
      </w:pPr>
      <w:r>
        <w:t xml:space="preserve">Fonda, R. W., Belanger, L. A., &amp; Burley, L. L. (1998). Burning characteristics of western conifer needles.</w:t>
      </w:r>
      <w:r>
        <w:t xml:space="preserve"> </w:t>
      </w:r>
      <w:r>
        <w:rPr>
          <w:i/>
          <w:iCs/>
        </w:rPr>
        <w:t xml:space="preserve">Northwest Science (USA)</w:t>
      </w:r>
      <w:r>
        <w:t xml:space="preserve">,</w:t>
      </w:r>
      <w:r>
        <w:t xml:space="preserve"> </w:t>
      </w:r>
      <w:r>
        <w:rPr>
          <w:i/>
          <w:iCs/>
        </w:rPr>
        <w:t xml:space="preserve">72</w:t>
      </w:r>
      <w:r>
        <w:t xml:space="preserve">(1), 1–9.</w:t>
      </w:r>
    </w:p>
    <w:bookmarkEnd w:id="178"/>
    <w:bookmarkStart w:id="180"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
          <w:iCs/>
        </w:rPr>
        <w:t xml:space="preserve">Forest Ecology and Management</w:t>
      </w:r>
      <w:r>
        <w:t xml:space="preserve">,</w:t>
      </w:r>
      <w:r>
        <w:t xml:space="preserve"> </w:t>
      </w:r>
      <w:r>
        <w:rPr>
          <w:i/>
          <w:iCs/>
        </w:rPr>
        <w:t xml:space="preserve">329</w:t>
      </w:r>
      <w:r>
        <w:t xml:space="preserve">, 137–147.</w:t>
      </w:r>
      <w:r>
        <w:t xml:space="preserve"> </w:t>
      </w:r>
      <w:hyperlink r:id="rId179">
        <w:r>
          <w:rPr>
            <w:rStyle w:val="Hyperlink"/>
          </w:rPr>
          <w:t xml:space="preserve">https://doi.org/10.1016/j.foreco.2014.06.025</w:t>
        </w:r>
      </w:hyperlink>
    </w:p>
    <w:bookmarkEnd w:id="180"/>
    <w:bookmarkStart w:id="182" w:name="ref-fryerNotholithocarpusDensiflorus2008"/>
    <w:p>
      <w:pPr>
        <w:pStyle w:val="Bibliography"/>
      </w:pPr>
      <w:r>
        <w:t xml:space="preserve">Fryer, J. L. (2008).</w:t>
      </w:r>
      <w:r>
        <w:t xml:space="preserve"> </w:t>
      </w:r>
      <w:r>
        <w:rPr>
          <w:i/>
          <w:iCs/>
        </w:rPr>
        <w:t xml:space="preserve">Notholithocarpus densiflorus</w:t>
      </w:r>
      <w:r>
        <w:t xml:space="preserve">. U.S. Department of Agriculture, Forest Service, Rocky Mountain Research Station, Fire Sciences Laboratory.</w:t>
      </w:r>
      <w:r>
        <w:t xml:space="preserve"> </w:t>
      </w:r>
      <w:hyperlink r:id="rId181">
        <w:r>
          <w:rPr>
            <w:rStyle w:val="Hyperlink"/>
          </w:rPr>
          <w:t xml:space="preserve">https://www.fs.usda.gov/database/feis/plants/tree/notden/all.html</w:t>
        </w:r>
      </w:hyperlink>
    </w:p>
    <w:bookmarkEnd w:id="182"/>
    <w:bookmarkStart w:id="184" w:name="ref-gangiFIREMONDatabaseUser2006"/>
    <w:p>
      <w:pPr>
        <w:pStyle w:val="Bibliography"/>
      </w:pPr>
      <w:r>
        <w:t xml:space="preserve">Gangi, L. J. (2006).</w:t>
      </w:r>
      <w:r>
        <w:t xml:space="preserve"> </w:t>
      </w:r>
      <w:r>
        <w:rPr>
          <w:i/>
          <w:iCs/>
        </w:rPr>
        <w:t xml:space="preserve">FIREMON</w:t>
      </w:r>
      <w:r>
        <w:rPr>
          <w:i/>
          <w:iCs/>
        </w:rPr>
        <w:t xml:space="preserve"> </w:t>
      </w:r>
      <w:r>
        <w:rPr>
          <w:i/>
          <w:iCs/>
        </w:rPr>
        <w:t xml:space="preserve">database user manual</w:t>
      </w:r>
      <w:r>
        <w:t xml:space="preserve"> </w:t>
      </w:r>
      <w:r>
        <w:t xml:space="preserve">(RMRS-GTR-164; pp. RMRS-GTR-164). U.S. Department of Agriculture, Forest Service, Rocky Mountain Research Station.</w:t>
      </w:r>
      <w:r>
        <w:t xml:space="preserve"> </w:t>
      </w:r>
      <w:hyperlink r:id="rId183">
        <w:r>
          <w:rPr>
            <w:rStyle w:val="Hyperlink"/>
          </w:rPr>
          <w:t xml:space="preserve">https://doi.org/10.2737/RMRS-GTR-164</w:t>
        </w:r>
      </w:hyperlink>
    </w:p>
    <w:bookmarkEnd w:id="184"/>
    <w:bookmarkStart w:id="186" w:name="ref-gardinerDevelopmentWaterOak1997"/>
    <w:p>
      <w:pPr>
        <w:pStyle w:val="Bibliography"/>
      </w:pPr>
      <w:r>
        <w:t xml:space="preserve">Gardiner, E. S., &amp; Helmig, L. M. (1997). Development of water oak stump sprouts under a partial overstory.</w:t>
      </w:r>
      <w:r>
        <w:t xml:space="preserve"> </w:t>
      </w:r>
      <w:r>
        <w:rPr>
          <w:i/>
          <w:iCs/>
        </w:rPr>
        <w:t xml:space="preserve">New Forests</w:t>
      </w:r>
      <w:r>
        <w:t xml:space="preserve">,</w:t>
      </w:r>
      <w:r>
        <w:t xml:space="preserve"> </w:t>
      </w:r>
      <w:r>
        <w:rPr>
          <w:i/>
          <w:iCs/>
        </w:rPr>
        <w:t xml:space="preserve">14</w:t>
      </w:r>
      <w:r>
        <w:t xml:space="preserve">(1), 55–62.</w:t>
      </w:r>
      <w:r>
        <w:t xml:space="preserve"> </w:t>
      </w:r>
      <w:hyperlink r:id="rId185">
        <w:r>
          <w:rPr>
            <w:rStyle w:val="Hyperlink"/>
          </w:rPr>
          <w:t xml:space="preserve">https://doi.org/10.1023/A:1006502107495</w:t>
        </w:r>
      </w:hyperlink>
    </w:p>
    <w:bookmarkEnd w:id="186"/>
    <w:bookmarkStart w:id="188" w:name="ref-glebockiFuelLoadingMoisture2015"/>
    <w:p>
      <w:pPr>
        <w:pStyle w:val="Bibliography"/>
      </w:pPr>
      <w:r>
        <w:t xml:space="preserve">Glebocki, R. (2015).</w:t>
      </w:r>
      <w:r>
        <w:t xml:space="preserve"> </w:t>
      </w:r>
      <w:r>
        <w:rPr>
          <w:i/>
          <w:iCs/>
        </w:rPr>
        <w:t xml:space="preserve">Fuel loading and moisture dynamics in thinned coast redwood–</w:t>
      </w:r>
      <w:r>
        <w:rPr>
          <w:i/>
          <w:iCs/>
        </w:rPr>
        <w:t xml:space="preserve">Douglas-fir</w:t>
      </w:r>
      <w:r>
        <w:rPr>
          <w:i/>
          <w:iCs/>
        </w:rPr>
        <w:t xml:space="preserve"> </w:t>
      </w:r>
      <w:r>
        <w:rPr>
          <w:i/>
          <w:iCs/>
        </w:rPr>
        <w:t xml:space="preserve">forests in</w:t>
      </w:r>
      <w:r>
        <w:rPr>
          <w:i/>
          <w:iCs/>
        </w:rPr>
        <w:t xml:space="preserve"> </w:t>
      </w:r>
      <w:r>
        <w:rPr>
          <w:i/>
          <w:iCs/>
        </w:rPr>
        <w:t xml:space="preserve">Headwaters Forest Reserve</w:t>
      </w:r>
      <w:r>
        <w:rPr>
          <w:i/>
          <w:iCs/>
        </w:rPr>
        <w:t xml:space="preserve">,</w:t>
      </w:r>
      <w:r>
        <w:rPr>
          <w:i/>
          <w:iCs/>
        </w:rPr>
        <w:t xml:space="preserve"> </w:t>
      </w:r>
      <w:r>
        <w:rPr>
          <w:i/>
          <w:iCs/>
        </w:rPr>
        <w:t xml:space="preserve">California</w:t>
      </w:r>
      <w:r>
        <w:t xml:space="preserve"> </w:t>
      </w:r>
      <w:r>
        <w:t xml:space="preserve">[Master’s thesis, Humboldt State University].</w:t>
      </w:r>
      <w:r>
        <w:t xml:space="preserve"> </w:t>
      </w:r>
      <w:hyperlink r:id="rId187">
        <w:r>
          <w:rPr>
            <w:rStyle w:val="Hyperlink"/>
          </w:rPr>
          <w:t xml:space="preserve">https://scholarworks.calstate.edu/concern/theses/ws859j014</w:t>
        </w:r>
      </w:hyperlink>
    </w:p>
    <w:bookmarkEnd w:id="188"/>
    <w:bookmarkStart w:id="190"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
          <w:iCs/>
        </w:rPr>
        <w:t xml:space="preserve">Canadian Journal of Forest Research</w:t>
      </w:r>
      <w:r>
        <w:t xml:space="preserve">,</w:t>
      </w:r>
      <w:r>
        <w:t xml:space="preserve"> </w:t>
      </w:r>
      <w:r>
        <w:rPr>
          <w:i/>
          <w:iCs/>
        </w:rPr>
        <w:t xml:space="preserve">37</w:t>
      </w:r>
      <w:r>
        <w:t xml:space="preserve">(1), 170–177.</w:t>
      </w:r>
      <w:r>
        <w:t xml:space="preserve"> </w:t>
      </w:r>
      <w:hyperlink r:id="rId189">
        <w:r>
          <w:rPr>
            <w:rStyle w:val="Hyperlink"/>
          </w:rPr>
          <w:t xml:space="preserve">https://doi.org/10.1139/x06-206</w:t>
        </w:r>
      </w:hyperlink>
    </w:p>
    <w:bookmarkEnd w:id="190"/>
    <w:bookmarkStart w:id="191" w:name="ref-grahamStructureDownedWoody2009"/>
    <w:p>
      <w:pPr>
        <w:pStyle w:val="Bibliography"/>
      </w:pPr>
      <w:r>
        <w:t xml:space="preserve">Graham, B. D. (2009).</w:t>
      </w:r>
      <w:r>
        <w:t xml:space="preserve"> </w:t>
      </w:r>
      <w:r>
        <w:rPr>
          <w:i/>
          <w:iCs/>
        </w:rPr>
        <w:t xml:space="preserve">Structure of downed woody and vegetative detritus in old-growth</w:t>
      </w:r>
      <w:r>
        <w:rPr>
          <w:i/>
          <w:iCs/>
        </w:rPr>
        <w:t xml:space="preserve"> </w:t>
      </w:r>
      <w:r>
        <w:rPr>
          <w:i/>
          <w:iCs/>
        </w:rPr>
        <w:t xml:space="preserve">Sequoia</w:t>
      </w:r>
      <w:r>
        <w:rPr>
          <w:i/>
          <w:iCs/>
        </w:rPr>
        <w:t xml:space="preserve"> </w:t>
      </w:r>
      <w:r>
        <w:rPr>
          <w:i/>
          <w:iCs/>
        </w:rPr>
        <w:t xml:space="preserve">sempervirens forests</w:t>
      </w:r>
      <w:r>
        <w:t xml:space="preserve"> </w:t>
      </w:r>
      <w:r>
        <w:t xml:space="preserve">[MS thesis]. Humboldt State University.</w:t>
      </w:r>
    </w:p>
    <w:bookmarkEnd w:id="191"/>
    <w:bookmarkStart w:id="193" w:name="ref-greenleeVegetationFireHistory1983"/>
    <w:p>
      <w:pPr>
        <w:pStyle w:val="Bibliography"/>
      </w:pPr>
      <w:r>
        <w:t xml:space="preserve">Greenlee, J. M. (1983).</w:t>
      </w:r>
      <w:r>
        <w:t xml:space="preserve"> </w:t>
      </w:r>
      <w:r>
        <w:rPr>
          <w:i/>
          <w:iCs/>
        </w:rPr>
        <w:t xml:space="preserve">Vegetation, fire history, and fire potential of</w:t>
      </w:r>
      <w:r>
        <w:rPr>
          <w:i/>
          <w:iCs/>
        </w:rPr>
        <w:t xml:space="preserve"> </w:t>
      </w:r>
      <w:r>
        <w:rPr>
          <w:i/>
          <w:iCs/>
        </w:rPr>
        <w:t xml:space="preserve">Big Basin Redwoods State Park</w:t>
      </w:r>
      <w:r>
        <w:rPr>
          <w:i/>
          <w:iCs/>
        </w:rPr>
        <w:t xml:space="preserve">,</w:t>
      </w:r>
      <w:r>
        <w:rPr>
          <w:i/>
          <w:iCs/>
        </w:rPr>
        <w:t xml:space="preserve"> </w:t>
      </w:r>
      <w:r>
        <w:rPr>
          <w:i/>
          <w:iCs/>
        </w:rPr>
        <w:t xml:space="preserve">California</w:t>
      </w:r>
      <w:r>
        <w:t xml:space="preserve"> </w:t>
      </w:r>
      <w:r>
        <w:t xml:space="preserve">[PhD thesis, University of California, Santa Cruz].</w:t>
      </w:r>
      <w:r>
        <w:t xml:space="preserve"> </w:t>
      </w:r>
      <w:hyperlink r:id="rId192">
        <w:r>
          <w:rPr>
            <w:rStyle w:val="Hyperlink"/>
          </w:rPr>
          <w:t xml:space="preserve">https://www.elibrary.ru/item.asp?id=7397149</w:t>
        </w:r>
      </w:hyperlink>
    </w:p>
    <w:bookmarkEnd w:id="193"/>
    <w:bookmarkStart w:id="195"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
          <w:iCs/>
        </w:rPr>
        <w:t xml:space="preserve">Forest Science and Technology</w:t>
      </w:r>
      <w:r>
        <w:t xml:space="preserve">.</w:t>
      </w:r>
      <w:r>
        <w:t xml:space="preserve"> </w:t>
      </w:r>
      <w:hyperlink r:id="rId194">
        <w:r>
          <w:rPr>
            <w:rStyle w:val="Hyperlink"/>
          </w:rPr>
          <w:t xml:space="preserve">https://www.tandfonline.com/doi/abs/10.1080/21580103.2020.1712264</w:t>
        </w:r>
      </w:hyperlink>
    </w:p>
    <w:bookmarkEnd w:id="195"/>
    <w:bookmarkStart w:id="197"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
          <w:iCs/>
        </w:rPr>
        <w:t xml:space="preserve">Western Journal of Applied Forestry</w:t>
      </w:r>
      <w:r>
        <w:t xml:space="preserve">,</w:t>
      </w:r>
      <w:r>
        <w:t xml:space="preserve"> </w:t>
      </w:r>
      <w:r>
        <w:rPr>
          <w:i/>
          <w:iCs/>
        </w:rPr>
        <w:t xml:space="preserve">7</w:t>
      </w:r>
      <w:r>
        <w:t xml:space="preserve">(4), 103–108.</w:t>
      </w:r>
      <w:r>
        <w:t xml:space="preserve"> </w:t>
      </w:r>
      <w:hyperlink r:id="rId196">
        <w:r>
          <w:rPr>
            <w:rStyle w:val="Hyperlink"/>
          </w:rPr>
          <w:t xml:space="preserve">https://doi.org/10.1093/wjaf/7.4.103</w:t>
        </w:r>
      </w:hyperlink>
    </w:p>
    <w:bookmarkEnd w:id="197"/>
    <w:bookmarkStart w:id="199" w:name="ref-hartigDHARMaResidualDiagnostics2022"/>
    <w:p>
      <w:pPr>
        <w:pStyle w:val="Bibliography"/>
      </w:pPr>
      <w:r>
        <w:t xml:space="preserve">Hartig, F. (2022).</w:t>
      </w:r>
      <w:r>
        <w:t xml:space="preserve"> </w:t>
      </w:r>
      <w:r>
        <w:rPr>
          <w:i/>
          <w:iCs/>
        </w:rPr>
        <w:t xml:space="preserve">DHARMa</w:t>
      </w:r>
      <w:r>
        <w:rPr>
          <w:i/>
          <w:iCs/>
        </w:rPr>
        <w:t xml:space="preserve">:</w:t>
      </w:r>
      <w:r>
        <w:rPr>
          <w:i/>
          <w:iCs/>
        </w:rPr>
        <w:t xml:space="preserve"> </w:t>
      </w:r>
      <w:r>
        <w:rPr>
          <w:i/>
          <w:iCs/>
        </w:rPr>
        <w:t xml:space="preserve">Residual</w:t>
      </w:r>
      <w:r>
        <w:rPr>
          <w:i/>
          <w:iCs/>
        </w:rPr>
        <w:t xml:space="preserve"> </w:t>
      </w:r>
      <w:r>
        <w:rPr>
          <w:i/>
          <w:iCs/>
        </w:rPr>
        <w:t xml:space="preserve">diagnostics for hierarchical (multi-level / mixed) regression models</w:t>
      </w:r>
      <w:r>
        <w:t xml:space="preserve"> </w:t>
      </w:r>
      <w:r>
        <w:t xml:space="preserve">[Manual].</w:t>
      </w:r>
      <w:r>
        <w:t xml:space="preserve"> </w:t>
      </w:r>
      <w:hyperlink r:id="rId198">
        <w:r>
          <w:rPr>
            <w:rStyle w:val="Hyperlink"/>
          </w:rPr>
          <w:t xml:space="preserve">https://CRAN.R-project.org/package=DHARMa</w:t>
        </w:r>
      </w:hyperlink>
    </w:p>
    <w:bookmarkEnd w:id="199"/>
    <w:bookmarkStart w:id="201" w:name="ref-heissMarginalConditionalEffects2022"/>
    <w:p>
      <w:pPr>
        <w:pStyle w:val="Bibliography"/>
      </w:pPr>
      <w:r>
        <w:t xml:space="preserve">Heiss, A. (2022, November 29).</w:t>
      </w:r>
      <w:r>
        <w:t xml:space="preserve"> </w:t>
      </w:r>
      <w:r>
        <w:rPr>
          <w:i/>
          <w:iCs/>
        </w:rPr>
        <w:t xml:space="preserve">Marginal and conditional effects for</w:t>
      </w:r>
      <w:r>
        <w:rPr>
          <w:i/>
          <w:iCs/>
        </w:rPr>
        <w:t xml:space="preserve"> </w:t>
      </w:r>
      <w:r>
        <w:rPr>
          <w:i/>
          <w:iCs/>
        </w:rPr>
        <w:t xml:space="preserve">GLMMs</w:t>
      </w:r>
      <w:r>
        <w:rPr>
          <w:i/>
          <w:iCs/>
        </w:rPr>
        <w:t xml:space="preserve"> </w:t>
      </w:r>
      <w:r>
        <w:rPr>
          <w:i/>
          <w:iCs/>
        </w:rPr>
        <w:t xml:space="preserve">with {marginaleffects}</w:t>
      </w:r>
      <w:r>
        <w:t xml:space="preserve">.</w:t>
      </w:r>
      <w:r>
        <w:t xml:space="preserve"> </w:t>
      </w:r>
      <w:hyperlink r:id="rId200">
        <w:r>
          <w:rPr>
            <w:rStyle w:val="Hyperlink"/>
          </w:rPr>
          <w:t xml:space="preserve">https://www.andrewheiss.com/blog/2022/11/29/conditional-marginal-marginaleffects/</w:t>
        </w:r>
      </w:hyperlink>
    </w:p>
    <w:bookmarkEnd w:id="201"/>
    <w:bookmarkStart w:id="203"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
          <w:iCs/>
        </w:rPr>
        <w:t xml:space="preserve">Frontiers in Forests and Global Change</w:t>
      </w:r>
      <w:r>
        <w:t xml:space="preserve">,</w:t>
      </w:r>
      <w:r>
        <w:t xml:space="preserve"> </w:t>
      </w:r>
      <w:r>
        <w:rPr>
          <w:i/>
          <w:iCs/>
        </w:rPr>
        <w:t xml:space="preserve">3</w:t>
      </w:r>
      <w:r>
        <w:t xml:space="preserve">.</w:t>
      </w:r>
      <w:r>
        <w:t xml:space="preserve"> </w:t>
      </w:r>
      <w:hyperlink r:id="rId202">
        <w:r>
          <w:rPr>
            <w:rStyle w:val="Hyperlink"/>
          </w:rPr>
          <w:t xml:space="preserve">https://www.frontiersin.org/articles/10.3389/ffgc.2020.00078</w:t>
        </w:r>
      </w:hyperlink>
    </w:p>
    <w:bookmarkEnd w:id="203"/>
    <w:bookmarkStart w:id="205" w:name="ref-jacobsFireHistoryPerpetuation1985"/>
    <w:p>
      <w:pPr>
        <w:pStyle w:val="Bibliography"/>
      </w:pPr>
      <w:r>
        <w:t xml:space="preserve">Jacobs, D. F., Cole, D. W., &amp; McBride, J. R. (1985). Fire history and perpetuation of natural coast redwood ecosystems.</w:t>
      </w:r>
      <w:r>
        <w:t xml:space="preserve"> </w:t>
      </w:r>
      <w:r>
        <w:rPr>
          <w:i/>
          <w:iCs/>
        </w:rPr>
        <w:t xml:space="preserve">Journal of Forestry</w:t>
      </w:r>
      <w:r>
        <w:t xml:space="preserve">,</w:t>
      </w:r>
      <w:r>
        <w:t xml:space="preserve"> </w:t>
      </w:r>
      <w:r>
        <w:rPr>
          <w:i/>
          <w:iCs/>
        </w:rPr>
        <w:t xml:space="preserve">83</w:t>
      </w:r>
      <w:r>
        <w:t xml:space="preserve">(8), 494–497.</w:t>
      </w:r>
      <w:r>
        <w:t xml:space="preserve"> </w:t>
      </w:r>
      <w:hyperlink r:id="rId204">
        <w:r>
          <w:rPr>
            <w:rStyle w:val="Hyperlink"/>
          </w:rPr>
          <w:t xml:space="preserve">https://academic.oup.com/jof/article-abstract/83/8/494/4647048</w:t>
        </w:r>
      </w:hyperlink>
    </w:p>
    <w:bookmarkEnd w:id="205"/>
    <w:bookmarkStart w:id="207" w:name="ref-johnsonPredictingOakStump1977"/>
    <w:p>
      <w:pPr>
        <w:pStyle w:val="Bibliography"/>
      </w:pPr>
      <w:r>
        <w:t xml:space="preserve">Johnson, P. S. (1977).</w:t>
      </w:r>
      <w:r>
        <w:t xml:space="preserve"> </w:t>
      </w:r>
      <w:r>
        <w:rPr>
          <w:i/>
          <w:iCs/>
        </w:rPr>
        <w:t xml:space="preserve">Predicting</w:t>
      </w:r>
      <w:r>
        <w:rPr>
          <w:i/>
          <w:iCs/>
        </w:rPr>
        <w:t xml:space="preserve"> </w:t>
      </w:r>
      <w:r>
        <w:rPr>
          <w:i/>
          <w:iCs/>
        </w:rPr>
        <w:t xml:space="preserve">Oak Stump Sprouting</w:t>
      </w:r>
      <w:r>
        <w:rPr>
          <w:i/>
          <w:iCs/>
        </w:rPr>
        <w:t xml:space="preserve"> </w:t>
      </w:r>
      <w:r>
        <w:rPr>
          <w:i/>
          <w:iCs/>
        </w:rPr>
        <w:t xml:space="preserve">and</w:t>
      </w:r>
      <w:r>
        <w:rPr>
          <w:i/>
          <w:iCs/>
        </w:rPr>
        <w:t xml:space="preserve"> </w:t>
      </w:r>
      <w:r>
        <w:rPr>
          <w:i/>
          <w:iCs/>
        </w:rPr>
        <w:t xml:space="preserve">Sprout Development</w:t>
      </w:r>
      <w:r>
        <w:rPr>
          <w:i/>
          <w:iCs/>
        </w:rPr>
        <w:t xml:space="preserve"> </w:t>
      </w:r>
      <w:r>
        <w:rPr>
          <w:i/>
          <w:iCs/>
        </w:rPr>
        <w:t xml:space="preserve">in the</w:t>
      </w:r>
      <w:r>
        <w:rPr>
          <w:i/>
          <w:iCs/>
        </w:rPr>
        <w:t xml:space="preserve"> </w:t>
      </w:r>
      <w:r>
        <w:rPr>
          <w:i/>
          <w:iCs/>
        </w:rPr>
        <w:t xml:space="preserve">Missouri Ozarks</w:t>
      </w:r>
      <w:r>
        <w:t xml:space="preserve"> </w:t>
      </w:r>
      <w:r>
        <w:t xml:space="preserve">(Research Paper NC-149). Department of Agriculture, Forest Service, North Central Forest Experiment Station.</w:t>
      </w:r>
      <w:r>
        <w:t xml:space="preserve"> </w:t>
      </w:r>
      <w:hyperlink r:id="rId206">
        <w:r>
          <w:rPr>
            <w:rStyle w:val="Hyperlink"/>
          </w:rPr>
          <w:t xml:space="preserve">https://books.google.com?id=x3tw07l1IQQC</w:t>
        </w:r>
      </w:hyperlink>
    </w:p>
    <w:bookmarkEnd w:id="207"/>
    <w:bookmarkStart w:id="209" w:name="ref-kaneStandConditionsAlter2021"/>
    <w:p>
      <w:pPr>
        <w:pStyle w:val="Bibliography"/>
      </w:pPr>
      <w:r>
        <w:t xml:space="preserve">Kane, J. M. (2021). Stand conditions alter seasonal microclimate and dead fuel moisture in a</w:t>
      </w:r>
      <w:r>
        <w:t xml:space="preserve"> </w:t>
      </w:r>
      <w:r>
        <w:t xml:space="preserve">Northwestern California</w:t>
      </w:r>
      <w:r>
        <w:t xml:space="preserve"> </w:t>
      </w:r>
      <w:r>
        <w:t xml:space="preserve">oak woodland.</w:t>
      </w:r>
      <w:r>
        <w:t xml:space="preserve"> </w:t>
      </w:r>
      <w:r>
        <w:rPr>
          <w:i/>
          <w:iCs/>
        </w:rPr>
        <w:t xml:space="preserve">Agricultural and Forest Meteorology</w:t>
      </w:r>
      <w:r>
        <w:t xml:space="preserve">,</w:t>
      </w:r>
      <w:r>
        <w:t xml:space="preserve"> </w:t>
      </w:r>
      <w:r>
        <w:rPr>
          <w:i/>
          <w:iCs/>
        </w:rPr>
        <w:t xml:space="preserve">308–309</w:t>
      </w:r>
      <w:r>
        <w:t xml:space="preserve">, 108602.</w:t>
      </w:r>
      <w:r>
        <w:t xml:space="preserve"> </w:t>
      </w:r>
      <w:hyperlink r:id="rId208">
        <w:r>
          <w:rPr>
            <w:rStyle w:val="Hyperlink"/>
          </w:rPr>
          <w:t xml:space="preserve">https://doi.org/10.1016/j.agrformet.2021.108602</w:t>
        </w:r>
      </w:hyperlink>
    </w:p>
    <w:bookmarkEnd w:id="209"/>
    <w:bookmarkStart w:id="211"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
          <w:iCs/>
        </w:rPr>
        <w:t xml:space="preserve">Canadian Journal of Forest Research</w:t>
      </w:r>
      <w:r>
        <w:t xml:space="preserve">,</w:t>
      </w:r>
      <w:r>
        <w:t xml:space="preserve"> </w:t>
      </w:r>
      <w:r>
        <w:rPr>
          <w:i/>
          <w:iCs/>
        </w:rPr>
        <w:t xml:space="preserve">38</w:t>
      </w:r>
      <w:r>
        <w:t xml:space="preserve">(6), 1431–1445.</w:t>
      </w:r>
      <w:r>
        <w:t xml:space="preserve"> </w:t>
      </w:r>
      <w:hyperlink r:id="rId210">
        <w:r>
          <w:rPr>
            <w:rStyle w:val="Hyperlink"/>
          </w:rPr>
          <w:t xml:space="preserve">https://doi.org/10.1139/X08-003</w:t>
        </w:r>
      </w:hyperlink>
    </w:p>
    <w:bookmarkEnd w:id="211"/>
    <w:bookmarkStart w:id="213" w:name="ref-keaneMappingWildlandFuels2001"/>
    <w:p>
      <w:pPr>
        <w:pStyle w:val="Bibliography"/>
      </w:pPr>
      <w:r>
        <w:t xml:space="preserve">Keane, R. E., Burgan, R., &amp; Wagtendonk, J. van. (2001). Mapping wildland fuels for fire management across multiple scales:</w:t>
      </w:r>
      <w:r>
        <w:t xml:space="preserve"> </w:t>
      </w:r>
      <w:r>
        <w:t xml:space="preserve">Integrating</w:t>
      </w:r>
      <w:r>
        <w:t xml:space="preserve"> </w:t>
      </w:r>
      <w:r>
        <w:t xml:space="preserve">remote sensing,</w:t>
      </w:r>
      <w:r>
        <w:t xml:space="preserve"> </w:t>
      </w:r>
      <w:r>
        <w:t xml:space="preserve">GIS</w:t>
      </w:r>
      <w:r>
        <w:t xml:space="preserve">, and biophysical modeling.</w:t>
      </w:r>
      <w:r>
        <w:t xml:space="preserve"> </w:t>
      </w:r>
      <w:r>
        <w:rPr>
          <w:i/>
          <w:iCs/>
        </w:rPr>
        <w:t xml:space="preserve">International Journal of Wildland Fire</w:t>
      </w:r>
      <w:r>
        <w:t xml:space="preserve">,</w:t>
      </w:r>
      <w:r>
        <w:t xml:space="preserve"> </w:t>
      </w:r>
      <w:r>
        <w:rPr>
          <w:i/>
          <w:iCs/>
        </w:rPr>
        <w:t xml:space="preserve">10</w:t>
      </w:r>
      <w:r>
        <w:t xml:space="preserve">(4), 301–319.</w:t>
      </w:r>
      <w:r>
        <w:t xml:space="preserve"> </w:t>
      </w:r>
      <w:hyperlink r:id="rId212">
        <w:r>
          <w:rPr>
            <w:rStyle w:val="Hyperlink"/>
          </w:rPr>
          <w:t xml:space="preserve">https://doi.org/10.1071/wf01028</w:t>
        </w:r>
      </w:hyperlink>
    </w:p>
    <w:bookmarkEnd w:id="213"/>
    <w:bookmarkStart w:id="215" w:name="ref-keaneSpatialScalingWildland2012"/>
    <w:p>
      <w:pPr>
        <w:pStyle w:val="Bibliography"/>
      </w:pPr>
      <w:r>
        <w:t xml:space="preserve">Keane, R. E., Gray, K., Bacciu, V., &amp; Leirfallom, S. (2012). Spatial scaling of wildland fuels for six forest and rangeland ecosystems of the northern</w:t>
      </w:r>
      <w:r>
        <w:t xml:space="preserve"> </w:t>
      </w:r>
      <w:r>
        <w:t xml:space="preserve">Rocky Mountains</w:t>
      </w:r>
      <w:r>
        <w:t xml:space="preserve">,</w:t>
      </w:r>
      <w:r>
        <w:t xml:space="preserve"> </w:t>
      </w:r>
      <w:r>
        <w:t xml:space="preserve">USA</w:t>
      </w:r>
      <w:r>
        <w:t xml:space="preserve">.</w:t>
      </w:r>
      <w:r>
        <w:t xml:space="preserve"> </w:t>
      </w:r>
      <w:r>
        <w:rPr>
          <w:i/>
          <w:iCs/>
        </w:rPr>
        <w:t xml:space="preserve">Landscape Ecology</w:t>
      </w:r>
      <w:r>
        <w:t xml:space="preserve">,</w:t>
      </w:r>
      <w:r>
        <w:t xml:space="preserve"> </w:t>
      </w:r>
      <w:r>
        <w:rPr>
          <w:i/>
          <w:iCs/>
        </w:rPr>
        <w:t xml:space="preserve">27</w:t>
      </w:r>
      <w:r>
        <w:t xml:space="preserve">(8), 1213–1234.</w:t>
      </w:r>
      <w:r>
        <w:t xml:space="preserve"> </w:t>
      </w:r>
      <w:hyperlink r:id="rId214">
        <w:r>
          <w:rPr>
            <w:rStyle w:val="Hyperlink"/>
          </w:rPr>
          <w:t xml:space="preserve">https://doi.org/10.1007/s10980-012-9773-9</w:t>
        </w:r>
      </w:hyperlink>
    </w:p>
    <w:bookmarkEnd w:id="215"/>
    <w:bookmarkStart w:id="216"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
          <w:iCs/>
        </w:rPr>
        <w:t xml:space="preserve">Fire Management Today</w:t>
      </w:r>
      <w:r>
        <w:t xml:space="preserve">,</w:t>
      </w:r>
      <w:r>
        <w:t xml:space="preserve"> </w:t>
      </w:r>
      <w:r>
        <w:rPr>
          <w:i/>
          <w:iCs/>
        </w:rPr>
        <w:t xml:space="preserve">66</w:t>
      </w:r>
      <w:r>
        <w:t xml:space="preserve">(3).</w:t>
      </w:r>
    </w:p>
    <w:bookmarkEnd w:id="216"/>
    <w:bookmarkStart w:id="218"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
          <w:iCs/>
        </w:rPr>
        <w:t xml:space="preserve">New Forests</w:t>
      </w:r>
      <w:r>
        <w:t xml:space="preserve">,</w:t>
      </w:r>
      <w:r>
        <w:t xml:space="preserve"> </w:t>
      </w:r>
      <w:r>
        <w:rPr>
          <w:i/>
          <w:iCs/>
        </w:rPr>
        <w:t xml:space="preserve">46</w:t>
      </w:r>
      <w:r>
        <w:t xml:space="preserve">(3), 449–464.</w:t>
      </w:r>
      <w:r>
        <w:t xml:space="preserve"> </w:t>
      </w:r>
      <w:hyperlink r:id="rId217">
        <w:r>
          <w:rPr>
            <w:rStyle w:val="Hyperlink"/>
          </w:rPr>
          <w:t xml:space="preserve">https://doi.org/10.1007/s11056-015-9470-z</w:t>
        </w:r>
      </w:hyperlink>
    </w:p>
    <w:bookmarkEnd w:id="218"/>
    <w:bookmarkStart w:id="220"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
          <w:iCs/>
        </w:rPr>
        <w:t xml:space="preserve">Forest Ecology and Management</w:t>
      </w:r>
      <w:r>
        <w:t xml:space="preserve">,</w:t>
      </w:r>
      <w:r>
        <w:t xml:space="preserve"> </w:t>
      </w:r>
      <w:r>
        <w:rPr>
          <w:i/>
          <w:iCs/>
        </w:rPr>
        <w:t xml:space="preserve">319</w:t>
      </w:r>
      <w:r>
        <w:t xml:space="preserve">, 29–35.</w:t>
      </w:r>
      <w:r>
        <w:t xml:space="preserve"> </w:t>
      </w:r>
      <w:hyperlink r:id="rId219">
        <w:r>
          <w:rPr>
            <w:rStyle w:val="Hyperlink"/>
          </w:rPr>
          <w:t xml:space="preserve">https://doi.org/10.1016/j.foreco.2014.01.045</w:t>
        </w:r>
      </w:hyperlink>
    </w:p>
    <w:bookmarkEnd w:id="220"/>
    <w:bookmarkStart w:id="222" w:name="ref-kittredgeComparisonForestFloors1940"/>
    <w:p>
      <w:pPr>
        <w:pStyle w:val="Bibliography"/>
      </w:pPr>
      <w:r>
        <w:t xml:space="preserve">Kittredge, J. (1940). A comparison of forest floors from plantations of the same age and environment.</w:t>
      </w:r>
      <w:r>
        <w:t xml:space="preserve"> </w:t>
      </w:r>
      <w:r>
        <w:rPr>
          <w:i/>
          <w:iCs/>
        </w:rPr>
        <w:t xml:space="preserve">Journal of Forestry</w:t>
      </w:r>
      <w:r>
        <w:t xml:space="preserve">,</w:t>
      </w:r>
      <w:r>
        <w:t xml:space="preserve"> </w:t>
      </w:r>
      <w:r>
        <w:rPr>
          <w:i/>
          <w:iCs/>
        </w:rPr>
        <w:t xml:space="preserve">38</w:t>
      </w:r>
      <w:r>
        <w:t xml:space="preserve">(9), 729–731.</w:t>
      </w:r>
      <w:r>
        <w:t xml:space="preserve"> </w:t>
      </w:r>
      <w:hyperlink r:id="rId221">
        <w:r>
          <w:rPr>
            <w:rStyle w:val="Hyperlink"/>
          </w:rPr>
          <w:t xml:space="preserve">https://doi.org/10.1093/jof/38.9.729</w:t>
        </w:r>
      </w:hyperlink>
    </w:p>
    <w:bookmarkEnd w:id="222"/>
    <w:bookmarkStart w:id="224"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
          <w:iCs/>
        </w:rPr>
        <w:t xml:space="preserve">Forest Science</w:t>
      </w:r>
      <w:r>
        <w:t xml:space="preserve">,</w:t>
      </w:r>
      <w:r>
        <w:t xml:space="preserve"> </w:t>
      </w:r>
      <w:r>
        <w:rPr>
          <w:i/>
          <w:iCs/>
        </w:rPr>
        <w:t xml:space="preserve">63</w:t>
      </w:r>
      <w:r>
        <w:t xml:space="preserve">(4), 377–387.</w:t>
      </w:r>
      <w:r>
        <w:t xml:space="preserve"> </w:t>
      </w:r>
      <w:hyperlink r:id="rId223">
        <w:r>
          <w:rPr>
            <w:rStyle w:val="Hyperlink"/>
          </w:rPr>
          <w:t xml:space="preserve">https://doi.org/10.5849/FS-2016-029R2</w:t>
        </w:r>
      </w:hyperlink>
    </w:p>
    <w:bookmarkEnd w:id="224"/>
    <w:bookmarkStart w:id="226" w:name="ref-kuljianEffectsSuddenOak2010"/>
    <w:p>
      <w:pPr>
        <w:pStyle w:val="Bibliography"/>
      </w:pPr>
      <w:r>
        <w:t xml:space="preserve">Kuljian, H., &amp; Varner, J. M. (2010). The effects of sudden oak death on foliar moisture content and crown fire potential in tanoak.</w:t>
      </w:r>
      <w:r>
        <w:t xml:space="preserve"> </w:t>
      </w:r>
      <w:r>
        <w:rPr>
          <w:i/>
          <w:iCs/>
        </w:rPr>
        <w:t xml:space="preserve">Forest Ecology and Management</w:t>
      </w:r>
      <w:r>
        <w:t xml:space="preserve">,</w:t>
      </w:r>
      <w:r>
        <w:t xml:space="preserve"> </w:t>
      </w:r>
      <w:r>
        <w:rPr>
          <w:i/>
          <w:iCs/>
        </w:rPr>
        <w:t xml:space="preserve">259</w:t>
      </w:r>
      <w:r>
        <w:t xml:space="preserve">(10), 2103–2110.</w:t>
      </w:r>
      <w:r>
        <w:t xml:space="preserve"> </w:t>
      </w:r>
      <w:hyperlink r:id="rId225">
        <w:r>
          <w:rPr>
            <w:rStyle w:val="Hyperlink"/>
          </w:rPr>
          <w:t xml:space="preserve">https://doi.org/10.1016/j.foreco.2010.02.022</w:t>
        </w:r>
      </w:hyperlink>
    </w:p>
    <w:bookmarkEnd w:id="226"/>
    <w:bookmarkStart w:id="228" w:name="ref-lenthEmmeansEstimatedMarginal2021"/>
    <w:p>
      <w:pPr>
        <w:pStyle w:val="Bibliography"/>
      </w:pPr>
      <w:r>
        <w:t xml:space="preserve">Lenth, R. V. (2021).</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 means, aka least-squares means</w:t>
      </w:r>
      <w:r>
        <w:t xml:space="preserve"> </w:t>
      </w:r>
      <w:r>
        <w:t xml:space="preserve">[Manual].</w:t>
      </w:r>
      <w:r>
        <w:t xml:space="preserve"> </w:t>
      </w:r>
      <w:hyperlink r:id="rId227">
        <w:r>
          <w:rPr>
            <w:rStyle w:val="Hyperlink"/>
          </w:rPr>
          <w:t xml:space="preserve">https://CRAN.R-project.org/package=emmeans</w:t>
        </w:r>
      </w:hyperlink>
    </w:p>
    <w:bookmarkEnd w:id="228"/>
    <w:bookmarkStart w:id="230"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
          <w:iCs/>
        </w:rPr>
        <w:t xml:space="preserve">Oecologia</w:t>
      </w:r>
      <w:r>
        <w:t xml:space="preserve">,</w:t>
      </w:r>
      <w:r>
        <w:t xml:space="preserve"> </w:t>
      </w:r>
      <w:r>
        <w:rPr>
          <w:i/>
          <w:iCs/>
        </w:rPr>
        <w:t xml:space="preserve">132</w:t>
      </w:r>
      <w:r>
        <w:t xml:space="preserve">(3), 428–435.</w:t>
      </w:r>
      <w:r>
        <w:t xml:space="preserve"> </w:t>
      </w:r>
      <w:hyperlink r:id="rId229">
        <w:r>
          <w:rPr>
            <w:rStyle w:val="Hyperlink"/>
          </w:rPr>
          <w:t xml:space="preserve">https://doi.org/10.1007/s00442-002-0986-5</w:t>
        </w:r>
      </w:hyperlink>
    </w:p>
    <w:bookmarkEnd w:id="230"/>
    <w:bookmarkStart w:id="232" w:name="Xa92a942cf733ee66767a1277abbf956026a0cee"/>
    <w:p>
      <w:pPr>
        <w:pStyle w:val="Bibliography"/>
      </w:pPr>
      <w:r>
        <w:t xml:space="preserve">Lindquist, J. L. (1979).</w:t>
      </w:r>
      <w:r>
        <w:t xml:space="preserve"> </w:t>
      </w:r>
      <w:r>
        <w:rPr>
          <w:i/>
          <w:iCs/>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31">
        <w:r>
          <w:rPr>
            <w:rStyle w:val="Hyperlink"/>
          </w:rPr>
          <w:t xml:space="preserve">https://www.google.com/books/edition/Sprout_Regeneration_of_Young_growth_Redw/48fMLtW9rRgC</w:t>
        </w:r>
      </w:hyperlink>
    </w:p>
    <w:bookmarkEnd w:id="232"/>
    <w:bookmarkStart w:id="234" w:name="ref-lindquistEmpiricalYieldTables1963"/>
    <w:p>
      <w:pPr>
        <w:pStyle w:val="Bibliography"/>
      </w:pPr>
      <w:r>
        <w:t xml:space="preserve">Lindquist, J. L., &amp; Palley, M. N. (1963).</w:t>
      </w:r>
      <w:r>
        <w:t xml:space="preserve"> </w:t>
      </w:r>
      <w:r>
        <w:rPr>
          <w:i/>
          <w:iCs/>
        </w:rPr>
        <w:t xml:space="preserve">Empirical yield tables for young-growth redwood</w:t>
      </w:r>
      <w:r>
        <w:t xml:space="preserve">. Division of Agricultural Sciences, University of California.</w:t>
      </w:r>
      <w:r>
        <w:t xml:space="preserve"> </w:t>
      </w:r>
      <w:hyperlink r:id="rId233">
        <w:r>
          <w:rPr>
            <w:rStyle w:val="Hyperlink"/>
          </w:rPr>
          <w:t xml:space="preserve">https://catalog.hathitrust.org/Record/010837951</w:t>
        </w:r>
      </w:hyperlink>
    </w:p>
    <w:bookmarkEnd w:id="234"/>
    <w:bookmarkStart w:id="236"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
          <w:iCs/>
        </w:rPr>
        <w:t xml:space="preserve">Forest Ecology and Management</w:t>
      </w:r>
      <w:r>
        <w:t xml:space="preserve">,</w:t>
      </w:r>
      <w:r>
        <w:t xml:space="preserve"> </w:t>
      </w:r>
      <w:r>
        <w:rPr>
          <w:i/>
          <w:iCs/>
        </w:rPr>
        <w:t xml:space="preserve">258</w:t>
      </w:r>
      <w:r>
        <w:t xml:space="preserve">(7), 1038–1054.</w:t>
      </w:r>
      <w:r>
        <w:t xml:space="preserve"> </w:t>
      </w:r>
      <w:hyperlink r:id="rId235">
        <w:r>
          <w:rPr>
            <w:rStyle w:val="Hyperlink"/>
          </w:rPr>
          <w:t xml:space="preserve">https://doi.org/10.1016/j.foreco.2009.07.008</w:t>
        </w:r>
      </w:hyperlink>
    </w:p>
    <w:bookmarkEnd w:id="236"/>
    <w:bookmarkStart w:id="237" w:name="ref-lutesFIREMONFireEffects2006"/>
    <w:p>
      <w:pPr>
        <w:pStyle w:val="Bibliography"/>
      </w:pPr>
      <w:r>
        <w:t xml:space="preserve">Lutes, D. C., Keane, R. E., Caratti, J. F., Key, C. H., Benson, N. C., Sutherland, S., &amp; Gangi, L. J. (2006).</w:t>
      </w:r>
      <w:r>
        <w:t xml:space="preserve"> </w:t>
      </w:r>
      <w:r>
        <w:rPr>
          <w:i/>
          <w:iCs/>
        </w:rPr>
        <w:t xml:space="preserve">FIREMON</w:t>
      </w:r>
      <w:r>
        <w:rPr>
          <w:i/>
          <w:iCs/>
        </w:rPr>
        <w:t xml:space="preserve">:</w:t>
      </w:r>
      <w:r>
        <w:rPr>
          <w:i/>
          <w:iCs/>
        </w:rPr>
        <w:t xml:space="preserve"> </w:t>
      </w:r>
      <w:r>
        <w:rPr>
          <w:i/>
          <w:iCs/>
        </w:rPr>
        <w:t xml:space="preserve">Fire</w:t>
      </w:r>
      <w:r>
        <w:rPr>
          <w:i/>
          <w:iCs/>
        </w:rPr>
        <w:t xml:space="preserve"> </w:t>
      </w:r>
      <w:r>
        <w:rPr>
          <w:i/>
          <w:iCs/>
        </w:rPr>
        <w:t xml:space="preserve">effects monitoring and inventory system</w:t>
      </w:r>
      <w:r>
        <w:t xml:space="preserve"> </w:t>
      </w:r>
      <w:r>
        <w:t xml:space="preserve">(RMRS-GTR-164; pp. RMRS-GTR-164). U.S. Department of Agriculture, Forest Service, Rocky Mountain Research Station.</w:t>
      </w:r>
      <w:r>
        <w:t xml:space="preserve"> </w:t>
      </w:r>
      <w:hyperlink r:id="rId183">
        <w:r>
          <w:rPr>
            <w:rStyle w:val="Hyperlink"/>
          </w:rPr>
          <w:t xml:space="preserve">https://doi.org/10.2737/RMRS-GTR-164</w:t>
        </w:r>
      </w:hyperlink>
    </w:p>
    <w:bookmarkEnd w:id="237"/>
    <w:bookmarkStart w:id="239" w:name="ref-martinsonFuelTreatmentsFire2013"/>
    <w:p>
      <w:pPr>
        <w:pStyle w:val="Bibliography"/>
      </w:pPr>
      <w:r>
        <w:t xml:space="preserve">Martinson, E. J., &amp; Omi, P. N. (2013).</w:t>
      </w:r>
      <w:r>
        <w:t xml:space="preserve"> </w:t>
      </w:r>
      <w:r>
        <w:rPr>
          <w:i/>
          <w:iCs/>
        </w:rPr>
        <w:t xml:space="preserve">Fuel treatments and fire severity: A meta-analysis</w:t>
      </w:r>
      <w:r>
        <w:t xml:space="preserve"> </w:t>
      </w:r>
      <w:r>
        <w:t xml:space="preserve">(RMRS-RP-103). U.S. Department of Agriculture, Forest Service, Rocky Mountain Research Station.</w:t>
      </w:r>
      <w:r>
        <w:t xml:space="preserve"> </w:t>
      </w:r>
      <w:hyperlink r:id="rId238">
        <w:r>
          <w:rPr>
            <w:rStyle w:val="Hyperlink"/>
          </w:rPr>
          <w:t xml:space="preserve">https://doi.org/10.2737/RMRS-RP-103</w:t>
        </w:r>
      </w:hyperlink>
    </w:p>
    <w:bookmarkEnd w:id="239"/>
    <w:bookmarkStart w:id="241" w:name="ref-mcdonaldAdaptationsWoodyShrubs1981"/>
    <w:p>
      <w:pPr>
        <w:pStyle w:val="Bibliography"/>
      </w:pPr>
      <w:r>
        <w:t xml:space="preserve">McDonald, P. M. (1981). Adaptations of woody shrubs. In S. D. Hobbs &amp; O. T. Helgerson (Eds.),</w:t>
      </w:r>
      <w:r>
        <w:t xml:space="preserve"> </w:t>
      </w:r>
      <w:r>
        <w:rPr>
          <w:i/>
          <w:iCs/>
        </w:rPr>
        <w:t xml:space="preserve">Reforestation of skeletal soils: Proceedings of a workshop held</w:t>
      </w:r>
      <w:r>
        <w:rPr>
          <w:i/>
          <w:iCs/>
        </w:rPr>
        <w:t xml:space="preserve"> </w:t>
      </w:r>
      <w:r>
        <w:rPr>
          <w:i/>
          <w:iCs/>
        </w:rPr>
        <w:t xml:space="preserve">November</w:t>
      </w:r>
      <w:r>
        <w:rPr>
          <w:i/>
          <w:iCs/>
        </w:rPr>
        <w:t xml:space="preserve"> </w:t>
      </w:r>
      <w:r>
        <w:rPr>
          <w:i/>
          <w:iCs/>
        </w:rPr>
        <w:t xml:space="preserve">17-19, 1981, in</w:t>
      </w:r>
      <w:r>
        <w:rPr>
          <w:i/>
          <w:iCs/>
        </w:rPr>
        <w:t xml:space="preserve"> </w:t>
      </w:r>
      <w:r>
        <w:rPr>
          <w:i/>
          <w:iCs/>
        </w:rPr>
        <w:t xml:space="preserve">Medford</w:t>
      </w:r>
      <w:r>
        <w:rPr>
          <w:i/>
          <w:iCs/>
        </w:rPr>
        <w:t xml:space="preserve">,</w:t>
      </w:r>
      <w:r>
        <w:rPr>
          <w:i/>
          <w:iCs/>
        </w:rPr>
        <w:t xml:space="preserve"> </w:t>
      </w:r>
      <w:r>
        <w:rPr>
          <w:i/>
          <w:iCs/>
        </w:rPr>
        <w:t xml:space="preserve">Oregon</w:t>
      </w:r>
      <w:r>
        <w:t xml:space="preserve"> </w:t>
      </w:r>
      <w:r>
        <w:t xml:space="preserve">(pp. 21–29). FOREST RESEARCH LABORATORY, OREGON STATE UNIVERSITY.</w:t>
      </w:r>
      <w:r>
        <w:t xml:space="preserve"> </w:t>
      </w:r>
      <w:hyperlink r:id="rId240">
        <w:r>
          <w:rPr>
            <w:rStyle w:val="Hyperlink"/>
          </w:rPr>
          <w:t xml:space="preserve">https://ir.library.oregonstate.edu/downloads/70795d72s</w:t>
        </w:r>
      </w:hyperlink>
    </w:p>
    <w:bookmarkEnd w:id="241"/>
    <w:bookmarkStart w:id="242"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
          <w:iCs/>
        </w:rPr>
        <w:t xml:space="preserve">Western Journal of Applied Forestry</w:t>
      </w:r>
      <w:r>
        <w:t xml:space="preserve">,</w:t>
      </w:r>
      <w:r>
        <w:t xml:space="preserve"> </w:t>
      </w:r>
      <w:r>
        <w:rPr>
          <w:i/>
          <w:iCs/>
        </w:rPr>
        <w:t xml:space="preserve">16</w:t>
      </w:r>
      <w:r>
        <w:t xml:space="preserve">(1), 35–43.</w:t>
      </w:r>
    </w:p>
    <w:bookmarkEnd w:id="242"/>
    <w:bookmarkStart w:id="243"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
          <w:iCs/>
        </w:rPr>
        <w:t xml:space="preserve">Journal of Forestry</w:t>
      </w:r>
      <w:r>
        <w:t xml:space="preserve">, 7.</w:t>
      </w:r>
    </w:p>
    <w:bookmarkEnd w:id="243"/>
    <w:bookmarkStart w:id="245"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
          <w:iCs/>
        </w:rPr>
        <w:t xml:space="preserve">The Forestry Chronicle</w:t>
      </w:r>
      <w:r>
        <w:t xml:space="preserve">,</w:t>
      </w:r>
      <w:r>
        <w:t xml:space="preserve"> </w:t>
      </w:r>
      <w:r>
        <w:rPr>
          <w:i/>
          <w:iCs/>
        </w:rPr>
        <w:t xml:space="preserve">78</w:t>
      </w:r>
      <w:r>
        <w:t xml:space="preserve">(3), 397–403.</w:t>
      </w:r>
      <w:r>
        <w:t xml:space="preserve"> </w:t>
      </w:r>
      <w:hyperlink r:id="rId244">
        <w:r>
          <w:rPr>
            <w:rStyle w:val="Hyperlink"/>
          </w:rPr>
          <w:t xml:space="preserve">https://doi.org/10.5558/tfc78397-3</w:t>
        </w:r>
      </w:hyperlink>
    </w:p>
    <w:bookmarkEnd w:id="245"/>
    <w:bookmarkStart w:id="247" w:name="ref-mumaConvertingCoastRedwood2019"/>
    <w:p>
      <w:pPr>
        <w:pStyle w:val="Bibliography"/>
      </w:pPr>
      <w:r>
        <w:t xml:space="preserve">Muma, R. T. (2019).</w:t>
      </w:r>
      <w:r>
        <w:t xml:space="preserve"> </w:t>
      </w:r>
      <w:r>
        <w:rPr>
          <w:i/>
          <w:iCs/>
        </w:rPr>
        <w:t xml:space="preserve">Converting coast redwood/douglas-fir forests to multiaged management: Residual stand damage, tree growth, and regeneration</w:t>
      </w:r>
      <w:r>
        <w:t xml:space="preserve"> </w:t>
      </w:r>
      <w:r>
        <w:t xml:space="preserve">[Humboldt State University].</w:t>
      </w:r>
      <w:r>
        <w:t xml:space="preserve"> </w:t>
      </w:r>
      <w:hyperlink r:id="rId246">
        <w:r>
          <w:rPr>
            <w:rStyle w:val="Hyperlink"/>
          </w:rPr>
          <w:t xml:space="preserve">https://digitalcommons.humboldt.edu/etd/269</w:t>
        </w:r>
      </w:hyperlink>
    </w:p>
    <w:bookmarkEnd w:id="247"/>
    <w:bookmarkStart w:id="249"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
          <w:iCs/>
        </w:rPr>
        <w:t xml:space="preserve">Forest Ecology and Management</w:t>
      </w:r>
      <w:r>
        <w:t xml:space="preserve">,</w:t>
      </w:r>
      <w:r>
        <w:t xml:space="preserve"> </w:t>
      </w:r>
      <w:r>
        <w:rPr>
          <w:i/>
          <w:iCs/>
        </w:rPr>
        <w:t xml:space="preserve">515</w:t>
      </w:r>
      <w:r>
        <w:t xml:space="preserve">, 120236.</w:t>
      </w:r>
      <w:r>
        <w:t xml:space="preserve"> </w:t>
      </w:r>
      <w:hyperlink r:id="rId248">
        <w:r>
          <w:rPr>
            <w:rStyle w:val="Hyperlink"/>
          </w:rPr>
          <w:t xml:space="preserve">https://doi.org/10.1016/j.foreco.2022.120236</w:t>
        </w:r>
      </w:hyperlink>
    </w:p>
    <w:bookmarkEnd w:id="249"/>
    <w:bookmarkStart w:id="251" w:name="ref-nealSproutingOldgrowthRedwood1967"/>
    <w:p>
      <w:pPr>
        <w:pStyle w:val="Bibliography"/>
      </w:pPr>
      <w:r>
        <w:t xml:space="preserve">Neal, R. L. J. (1967).</w:t>
      </w:r>
      <w:r>
        <w:t xml:space="preserve"> </w:t>
      </w:r>
      <w:r>
        <w:rPr>
          <w:i/>
          <w:iCs/>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50">
        <w:r>
          <w:rPr>
            <w:rStyle w:val="Hyperlink"/>
          </w:rPr>
          <w:t xml:space="preserve">https://www.fs.usda.gov/research/treesearch/37978</w:t>
        </w:r>
      </w:hyperlink>
    </w:p>
    <w:bookmarkEnd w:id="251"/>
    <w:bookmarkStart w:id="253"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
          <w:iCs/>
        </w:rPr>
        <w:t xml:space="preserve">Forest Ecology and Management</w:t>
      </w:r>
      <w:r>
        <w:t xml:space="preserve">,</w:t>
      </w:r>
      <w:r>
        <w:t xml:space="preserve"> </w:t>
      </w:r>
      <w:r>
        <w:rPr>
          <w:i/>
          <w:iCs/>
        </w:rPr>
        <w:t xml:space="preserve">511</w:t>
      </w:r>
      <w:r>
        <w:t xml:space="preserve">, 120136.</w:t>
      </w:r>
      <w:r>
        <w:t xml:space="preserve"> </w:t>
      </w:r>
      <w:hyperlink r:id="rId252">
        <w:r>
          <w:rPr>
            <w:rStyle w:val="Hyperlink"/>
          </w:rPr>
          <w:t xml:space="preserve">https://doi.org/10.1016/j.foreco.2022.120136</w:t>
        </w:r>
      </w:hyperlink>
    </w:p>
    <w:bookmarkEnd w:id="253"/>
    <w:bookmarkStart w:id="255"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
          <w:iCs/>
        </w:rPr>
        <w:t xml:space="preserve">Ecology and Evolution</w:t>
      </w:r>
      <w:r>
        <w:t xml:space="preserve">,</w:t>
      </w:r>
      <w:r>
        <w:t xml:space="preserve"> </w:t>
      </w:r>
      <w:r>
        <w:rPr>
          <w:i/>
          <w:iCs/>
        </w:rPr>
        <w:t xml:space="preserve">8</w:t>
      </w:r>
      <w:r>
        <w:t xml:space="preserve">(2), 1217–1226.</w:t>
      </w:r>
      <w:r>
        <w:t xml:space="preserve"> </w:t>
      </w:r>
      <w:hyperlink r:id="rId254">
        <w:r>
          <w:rPr>
            <w:rStyle w:val="Hyperlink"/>
          </w:rPr>
          <w:t xml:space="preserve">https://doi.org/10.1002/ece3.3737</w:t>
        </w:r>
      </w:hyperlink>
    </w:p>
    <w:bookmarkEnd w:id="255"/>
    <w:bookmarkStart w:id="256" w:name="ref-normanFireFuelsManagement2009"/>
    <w:p>
      <w:pPr>
        <w:pStyle w:val="Bibliography"/>
      </w:pPr>
      <w:r>
        <w:t xml:space="preserve">Norman, S. P., Varner, J. M., Arguello, L., Underwood, S., Graham, B., Jennings, G., Valachovic, Y., &amp; Lee, C. (2009).</w:t>
      </w:r>
      <w:r>
        <w:t xml:space="preserve"> </w:t>
      </w:r>
      <w:r>
        <w:rPr>
          <w:i/>
          <w:iCs/>
        </w:rPr>
        <w:t xml:space="preserve">Fire and fuels management in coast redwood forests</w:t>
      </w:r>
      <w:r>
        <w:t xml:space="preserve">.</w:t>
      </w:r>
    </w:p>
    <w:bookmarkEnd w:id="256"/>
    <w:bookmarkStart w:id="258"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
          <w:iCs/>
        </w:rPr>
        <w:t xml:space="preserve">Journal of Forestry</w:t>
      </w:r>
      <w:r>
        <w:t xml:space="preserve">,</w:t>
      </w:r>
      <w:r>
        <w:t xml:space="preserve"> </w:t>
      </w:r>
      <w:r>
        <w:rPr>
          <w:i/>
          <w:iCs/>
        </w:rPr>
        <w:t xml:space="preserve">119</w:t>
      </w:r>
      <w:r>
        <w:t xml:space="preserve">(5), 520–544.</w:t>
      </w:r>
      <w:r>
        <w:t xml:space="preserve"> </w:t>
      </w:r>
      <w:hyperlink r:id="rId257">
        <w:r>
          <w:rPr>
            <w:rStyle w:val="Hyperlink"/>
          </w:rPr>
          <w:t xml:space="preserve">https://doi.org/10.1093/jofore/fvab026</w:t>
        </w:r>
      </w:hyperlink>
    </w:p>
    <w:bookmarkEnd w:id="258"/>
    <w:bookmarkStart w:id="260"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
          <w:iCs/>
        </w:rPr>
        <w:t xml:space="preserve">Journal of Forestry</w:t>
      </w:r>
      <w:r>
        <w:t xml:space="preserve">,</w:t>
      </w:r>
      <w:r>
        <w:t xml:space="preserve"> </w:t>
      </w:r>
      <w:r>
        <w:rPr>
          <w:i/>
          <w:iCs/>
        </w:rPr>
        <w:t xml:space="preserve">96</w:t>
      </w:r>
      <w:r>
        <w:t xml:space="preserve">(7), 4–10.</w:t>
      </w:r>
      <w:r>
        <w:t xml:space="preserve"> </w:t>
      </w:r>
      <w:hyperlink r:id="rId259">
        <w:r>
          <w:rPr>
            <w:rStyle w:val="Hyperlink"/>
          </w:rPr>
          <w:t xml:space="preserve">https://doi.org/10.1093/jof/96.7.4a</w:t>
        </w:r>
      </w:hyperlink>
    </w:p>
    <w:bookmarkEnd w:id="260"/>
    <w:bookmarkStart w:id="262" w:name="Xecd8d6790cdaed58893d78d9f600c5959d02090"/>
    <w:p>
      <w:pPr>
        <w:pStyle w:val="Bibliography"/>
      </w:pPr>
      <w:r>
        <w:t xml:space="preserve">O’Hara, K. L. (2001). The silviculture of transformation — a commentary.</w:t>
      </w:r>
      <w:r>
        <w:t xml:space="preserve"> </w:t>
      </w:r>
      <w:r>
        <w:rPr>
          <w:i/>
          <w:iCs/>
        </w:rPr>
        <w:t xml:space="preserve">Forest Ecology and Management</w:t>
      </w:r>
      <w:r>
        <w:t xml:space="preserve">,</w:t>
      </w:r>
      <w:r>
        <w:t xml:space="preserve"> </w:t>
      </w:r>
      <w:r>
        <w:rPr>
          <w:i/>
          <w:iCs/>
        </w:rPr>
        <w:t xml:space="preserve">151</w:t>
      </w:r>
      <w:r>
        <w:t xml:space="preserve">(1), 81–86.</w:t>
      </w:r>
      <w:r>
        <w:t xml:space="preserve"> </w:t>
      </w:r>
      <w:hyperlink r:id="rId261">
        <w:r>
          <w:rPr>
            <w:rStyle w:val="Hyperlink"/>
          </w:rPr>
          <w:t xml:space="preserve">https://doi.org/10.1016/S0378-1127(00)00698-8</w:t>
        </w:r>
      </w:hyperlink>
    </w:p>
    <w:bookmarkEnd w:id="262"/>
    <w:bookmarkStart w:id="264"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
          <w:iCs/>
        </w:rPr>
        <w:t xml:space="preserve">Forestry: An International Journal of Forest Research</w:t>
      </w:r>
      <w:r>
        <w:t xml:space="preserve">,</w:t>
      </w:r>
      <w:r>
        <w:t xml:space="preserve"> </w:t>
      </w:r>
      <w:r>
        <w:rPr>
          <w:i/>
          <w:iCs/>
        </w:rPr>
        <w:t xml:space="preserve">75</w:t>
      </w:r>
      <w:r>
        <w:t xml:space="preserve">(4), 339–346.</w:t>
      </w:r>
      <w:r>
        <w:t xml:space="preserve"> </w:t>
      </w:r>
      <w:hyperlink r:id="rId263">
        <w:r>
          <w:rPr>
            <w:rStyle w:val="Hyperlink"/>
          </w:rPr>
          <w:t xml:space="preserve">https://doi.org/10.1093/forestry/75.4.339</w:t>
        </w:r>
      </w:hyperlink>
    </w:p>
    <w:bookmarkEnd w:id="264"/>
    <w:bookmarkStart w:id="266" w:name="ref-oharaDynamicsCoastRedwood2010"/>
    <w:p>
      <w:pPr>
        <w:pStyle w:val="Bibliography"/>
      </w:pPr>
      <w:r>
        <w:t xml:space="preserve">O’Hara, K. L., &amp; Berrill, J.-P. (2010). Dynamics of coast redwood sprout clump development in variable light environments.</w:t>
      </w:r>
      <w:r>
        <w:t xml:space="preserve"> </w:t>
      </w:r>
      <w:r>
        <w:rPr>
          <w:i/>
          <w:iCs/>
        </w:rPr>
        <w:t xml:space="preserve">Journal of Forest Research</w:t>
      </w:r>
      <w:r>
        <w:t xml:space="preserve">,</w:t>
      </w:r>
      <w:r>
        <w:t xml:space="preserve"> </w:t>
      </w:r>
      <w:r>
        <w:rPr>
          <w:i/>
          <w:iCs/>
        </w:rPr>
        <w:t xml:space="preserve">15</w:t>
      </w:r>
      <w:r>
        <w:t xml:space="preserve">(2), 131–139.</w:t>
      </w:r>
      <w:r>
        <w:t xml:space="preserve"> </w:t>
      </w:r>
      <w:hyperlink r:id="rId265">
        <w:r>
          <w:rPr>
            <w:rStyle w:val="Hyperlink"/>
          </w:rPr>
          <w:t xml:space="preserve">https://doi.org/10.1007/s10310-009-0166-0</w:t>
        </w:r>
      </w:hyperlink>
    </w:p>
    <w:bookmarkEnd w:id="266"/>
    <w:bookmarkStart w:id="268"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
          <w:iCs/>
        </w:rPr>
        <w:t xml:space="preserve">Forests</w:t>
      </w:r>
      <w:r>
        <w:t xml:space="preserve">,</w:t>
      </w:r>
      <w:r>
        <w:t xml:space="preserve"> </w:t>
      </w:r>
      <w:r>
        <w:rPr>
          <w:i/>
          <w:iCs/>
        </w:rPr>
        <w:t xml:space="preserve">8</w:t>
      </w:r>
      <w:r>
        <w:t xml:space="preserve">(5), 144.</w:t>
      </w:r>
      <w:r>
        <w:t xml:space="preserve"> </w:t>
      </w:r>
      <w:hyperlink r:id="rId267">
        <w:r>
          <w:rPr>
            <w:rStyle w:val="Hyperlink"/>
          </w:rPr>
          <w:t xml:space="preserve">https://doi.org/10.3390/f8050144</w:t>
        </w:r>
      </w:hyperlink>
    </w:p>
    <w:bookmarkEnd w:id="268"/>
    <w:bookmarkStart w:id="270"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
          <w:iCs/>
        </w:rPr>
        <w:t xml:space="preserve">Forest Ecology and Management</w:t>
      </w:r>
      <w:r>
        <w:t xml:space="preserve">,</w:t>
      </w:r>
      <w:r>
        <w:t xml:space="preserve"> </w:t>
      </w:r>
      <w:r>
        <w:rPr>
          <w:i/>
          <w:iCs/>
        </w:rPr>
        <w:t xml:space="preserve">244</w:t>
      </w:r>
      <w:r>
        <w:t xml:space="preserve">(1), 76–85.</w:t>
      </w:r>
      <w:r>
        <w:t xml:space="preserve"> </w:t>
      </w:r>
      <w:hyperlink r:id="rId269">
        <w:r>
          <w:rPr>
            <w:rStyle w:val="Hyperlink"/>
          </w:rPr>
          <w:t xml:space="preserve">https://doi.org/10.1016/j.foreco.2007.03.062</w:t>
        </w:r>
      </w:hyperlink>
    </w:p>
    <w:bookmarkEnd w:id="270"/>
    <w:bookmarkStart w:id="272"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
          <w:iCs/>
        </w:rPr>
        <w:t xml:space="preserve">Forest Ecology and Management</w:t>
      </w:r>
      <w:r>
        <w:t xml:space="preserve">,</w:t>
      </w:r>
      <w:r>
        <w:t xml:space="preserve"> </w:t>
      </w:r>
      <w:r>
        <w:rPr>
          <w:i/>
          <w:iCs/>
        </w:rPr>
        <w:t xml:space="preserve">495</w:t>
      </w:r>
      <w:r>
        <w:t xml:space="preserve">, 119361.</w:t>
      </w:r>
      <w:r>
        <w:t xml:space="preserve"> </w:t>
      </w:r>
      <w:hyperlink r:id="rId271">
        <w:r>
          <w:rPr>
            <w:rStyle w:val="Hyperlink"/>
          </w:rPr>
          <w:t xml:space="preserve">https://doi.org/10.1016/j.foreco.2021.119361</w:t>
        </w:r>
      </w:hyperlink>
    </w:p>
    <w:bookmarkEnd w:id="272"/>
    <w:bookmarkStart w:id="273" w:name="ref-oliverYounggrowthRedwoodStands1994"/>
    <w:p>
      <w:pPr>
        <w:pStyle w:val="Bibliography"/>
      </w:pPr>
      <w:r>
        <w:t xml:space="preserve">Oliver, W. W., Lindquist, J. L., &amp; Strothmann, R. O. (1994). Young-growth redwood stands respond well to various thinning intensities.</w:t>
      </w:r>
      <w:r>
        <w:t xml:space="preserve"> </w:t>
      </w:r>
      <w:r>
        <w:rPr>
          <w:i/>
          <w:iCs/>
        </w:rPr>
        <w:t xml:space="preserve">Western Journal of Applied Forestry</w:t>
      </w:r>
      <w:r>
        <w:t xml:space="preserve">,</w:t>
      </w:r>
      <w:r>
        <w:t xml:space="preserve"> </w:t>
      </w:r>
      <w:r>
        <w:rPr>
          <w:i/>
          <w:iCs/>
        </w:rPr>
        <w:t xml:space="preserve">9</w:t>
      </w:r>
      <w:r>
        <w:t xml:space="preserve">(4), 106–112.</w:t>
      </w:r>
    </w:p>
    <w:bookmarkEnd w:id="273"/>
    <w:bookmarkStart w:id="275"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
          <w:iCs/>
        </w:rPr>
        <w:t xml:space="preserve">Geophysical Research Letters</w:t>
      </w:r>
      <w:r>
        <w:t xml:space="preserve">,</w:t>
      </w:r>
      <w:r>
        <w:t xml:space="preserve"> </w:t>
      </w:r>
      <w:r>
        <w:rPr>
          <w:i/>
          <w:iCs/>
        </w:rPr>
        <w:t xml:space="preserve">47</w:t>
      </w:r>
      <w:r>
        <w:t xml:space="preserve">(22).</w:t>
      </w:r>
      <w:r>
        <w:t xml:space="preserve"> </w:t>
      </w:r>
      <w:hyperlink r:id="rId274">
        <w:r>
          <w:rPr>
            <w:rStyle w:val="Hyperlink"/>
          </w:rPr>
          <w:t xml:space="preserve">https://doi.org/10.1029/2020GL089858</w:t>
        </w:r>
      </w:hyperlink>
    </w:p>
    <w:bookmarkEnd w:id="275"/>
    <w:bookmarkStart w:id="277" w:name="Xa7718103be4338156d88a8097714e0b7e07ff02"/>
    <w:p>
      <w:pPr>
        <w:pStyle w:val="Bibliography"/>
      </w:pPr>
      <w:r>
        <w:t xml:space="preserve">Pillers, M. D., &amp; Stuart, J. D. (1993). Leaf-litter accretion and decomposition in interior and coastal old-growth redwood stands.</w:t>
      </w:r>
      <w:r>
        <w:t xml:space="preserve"> </w:t>
      </w:r>
      <w:r>
        <w:rPr>
          <w:i/>
          <w:iCs/>
        </w:rPr>
        <w:t xml:space="preserve">Canadian Journal of Forest Research</w:t>
      </w:r>
      <w:r>
        <w:t xml:space="preserve">,</w:t>
      </w:r>
      <w:r>
        <w:t xml:space="preserve"> </w:t>
      </w:r>
      <w:r>
        <w:rPr>
          <w:i/>
          <w:iCs/>
        </w:rPr>
        <w:t xml:space="preserve">23</w:t>
      </w:r>
      <w:r>
        <w:t xml:space="preserve">(3), 552–557.</w:t>
      </w:r>
      <w:r>
        <w:t xml:space="preserve"> </w:t>
      </w:r>
      <w:hyperlink r:id="rId276">
        <w:r>
          <w:rPr>
            <w:rStyle w:val="Hyperlink"/>
          </w:rPr>
          <w:t xml:space="preserve">https://doi.org/10.1139/x93-073</w:t>
        </w:r>
      </w:hyperlink>
    </w:p>
    <w:bookmarkEnd w:id="277"/>
    <w:bookmarkStart w:id="279"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
          <w:iCs/>
        </w:rPr>
        <w:t xml:space="preserve">Forest Science</w:t>
      </w:r>
      <w:r>
        <w:t xml:space="preserve">,</w:t>
      </w:r>
      <w:r>
        <w:t xml:space="preserve"> </w:t>
      </w:r>
      <w:r>
        <w:rPr>
          <w:i/>
          <w:iCs/>
        </w:rPr>
        <w:t xml:space="preserve">16</w:t>
      </w:r>
      <w:r>
        <w:t xml:space="preserve">(3), 339–341.</w:t>
      </w:r>
      <w:r>
        <w:t xml:space="preserve"> </w:t>
      </w:r>
      <w:hyperlink r:id="rId278">
        <w:r>
          <w:rPr>
            <w:rStyle w:val="Hyperlink"/>
          </w:rPr>
          <w:t xml:space="preserve">https://doi.org/10.1093/forestscience/16.3.339</w:t>
        </w:r>
      </w:hyperlink>
    </w:p>
    <w:bookmarkEnd w:id="279"/>
    <w:bookmarkStart w:id="281" w:name="X4b3bfaa56dbc0d0f7e18fce085ec7a7f6c69a8e"/>
    <w:p>
      <w:pPr>
        <w:pStyle w:val="Bibliography"/>
      </w:pPr>
      <w:r>
        <w:t xml:space="preserve">Reineke, L. H. (1933). Perfection a stand-density index for even-aged forest.</w:t>
      </w:r>
      <w:r>
        <w:t xml:space="preserve"> </w:t>
      </w:r>
      <w:r>
        <w:rPr>
          <w:i/>
          <w:iCs/>
        </w:rPr>
        <w:t xml:space="preserve">Journal of Agricultural Research</w:t>
      </w:r>
      <w:r>
        <w:t xml:space="preserve">,</w:t>
      </w:r>
      <w:r>
        <w:t xml:space="preserve"> </w:t>
      </w:r>
      <w:r>
        <w:rPr>
          <w:i/>
          <w:iCs/>
        </w:rPr>
        <w:t xml:space="preserve">46</w:t>
      </w:r>
      <w:r>
        <w:t xml:space="preserve">, 627–638.</w:t>
      </w:r>
      <w:r>
        <w:t xml:space="preserve"> </w:t>
      </w:r>
      <w:hyperlink r:id="rId280">
        <w:r>
          <w:rPr>
            <w:rStyle w:val="Hyperlink"/>
          </w:rPr>
          <w:t xml:space="preserve">https://www.fs.usda.gov/treesearch/pubs/60134</w:t>
        </w:r>
      </w:hyperlink>
    </w:p>
    <w:bookmarkEnd w:id="281"/>
    <w:bookmarkStart w:id="283" w:name="ref-saffordNaturalRangeVariation2017"/>
    <w:p>
      <w:pPr>
        <w:pStyle w:val="Bibliography"/>
      </w:pPr>
      <w:r>
        <w:t xml:space="preserve">Safford, H. D., &amp; Stevens, J. T. (2017).</w:t>
      </w:r>
      <w:r>
        <w:t xml:space="preserve"> </w:t>
      </w:r>
      <w:r>
        <w:rPr>
          <w:i/>
          <w:iCs/>
        </w:rPr>
        <w:t xml:space="preserve">Natural range of variation for yellow pine and mixed-conifer forests in the</w:t>
      </w:r>
      <w:r>
        <w:rPr>
          <w:i/>
          <w:iCs/>
        </w:rPr>
        <w:t xml:space="preserve"> </w:t>
      </w:r>
      <w:r>
        <w:rPr>
          <w:i/>
          <w:iCs/>
        </w:rPr>
        <w:t xml:space="preserve">Sierra Nevada</w:t>
      </w:r>
      <w:r>
        <w:rPr>
          <w:i/>
          <w:iCs/>
        </w:rPr>
        <w:t xml:space="preserve">, southern</w:t>
      </w:r>
      <w:r>
        <w:rPr>
          <w:i/>
          <w:iCs/>
        </w:rPr>
        <w:t xml:space="preserve"> </w:t>
      </w:r>
      <w:r>
        <w:rPr>
          <w:i/>
          <w:iCs/>
        </w:rPr>
        <w:t xml:space="preserve">Cascades</w:t>
      </w:r>
      <w:r>
        <w:rPr>
          <w:i/>
          <w:iCs/>
        </w:rPr>
        <w:t xml:space="preserve">, and</w:t>
      </w:r>
      <w:r>
        <w:rPr>
          <w:i/>
          <w:iCs/>
        </w:rPr>
        <w:t xml:space="preserve"> </w:t>
      </w:r>
      <w:r>
        <w:rPr>
          <w:i/>
          <w:iCs/>
        </w:rPr>
        <w:t xml:space="preserve">Modoc</w:t>
      </w:r>
      <w:r>
        <w:rPr>
          <w:i/>
          <w:iCs/>
        </w:rPr>
        <w:t xml:space="preserve"> </w:t>
      </w:r>
      <w:r>
        <w:rPr>
          <w:i/>
          <w:iCs/>
        </w:rPr>
        <w:t xml:space="preserve">and</w:t>
      </w:r>
      <w:r>
        <w:rPr>
          <w:i/>
          <w:iCs/>
        </w:rPr>
        <w:t xml:space="preserve"> </w:t>
      </w:r>
      <w:r>
        <w:rPr>
          <w:i/>
          <w:iCs/>
        </w:rPr>
        <w:t xml:space="preserve">Inyo National Forests</w:t>
      </w:r>
      <w:r>
        <w:rPr>
          <w:i/>
          <w:iCs/>
        </w:rPr>
        <w:t xml:space="preserve">,</w:t>
      </w:r>
      <w:r>
        <w:rPr>
          <w:i/>
          <w:iCs/>
        </w:rPr>
        <w:t xml:space="preserve"> </w:t>
      </w:r>
      <w:r>
        <w:rPr>
          <w:i/>
          <w:iCs/>
        </w:rPr>
        <w:t xml:space="preserve">California</w:t>
      </w:r>
      <w:r>
        <w:rPr>
          <w:i/>
          <w:iCs/>
        </w:rPr>
        <w:t xml:space="preserve">,</w:t>
      </w:r>
      <w:r>
        <w:rPr>
          <w:i/>
          <w:iCs/>
        </w:rPr>
        <w:t xml:space="preserve"> </w:t>
      </w:r>
      <w:r>
        <w:rPr>
          <w:i/>
          <w:iCs/>
        </w:rPr>
        <w:t xml:space="preserve">USA</w:t>
      </w:r>
      <w:r>
        <w:t xml:space="preserve"> </w:t>
      </w:r>
      <w:r>
        <w:t xml:space="preserve">(PSW-GTR-256; pp. PSW-GTR-256). U.S. Department of Agriculture, Forest Service, Pacific Southwest Research Station.</w:t>
      </w:r>
      <w:r>
        <w:t xml:space="preserve"> </w:t>
      </w:r>
      <w:hyperlink r:id="rId282">
        <w:r>
          <w:rPr>
            <w:rStyle w:val="Hyperlink"/>
          </w:rPr>
          <w:t xml:space="preserve">https://doi.org/10.2737/PSW-GTR-256</w:t>
        </w:r>
      </w:hyperlink>
    </w:p>
    <w:bookmarkEnd w:id="283"/>
    <w:bookmarkStart w:id="285"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
          <w:iCs/>
        </w:rPr>
        <w:t xml:space="preserve">Sustainability</w:t>
      </w:r>
      <w:r>
        <w:t xml:space="preserve">,</w:t>
      </w:r>
      <w:r>
        <w:t xml:space="preserve"> </w:t>
      </w:r>
      <w:r>
        <w:rPr>
          <w:i/>
          <w:iCs/>
        </w:rPr>
        <w:t xml:space="preserve">15</w:t>
      </w:r>
      <w:r>
        <w:t xml:space="preserve">(23, 23), 16409.</w:t>
      </w:r>
      <w:r>
        <w:t xml:space="preserve"> </w:t>
      </w:r>
      <w:hyperlink r:id="rId284">
        <w:r>
          <w:rPr>
            <w:rStyle w:val="Hyperlink"/>
          </w:rPr>
          <w:t xml:space="preserve">https://doi.org/10.3390/su152316409</w:t>
        </w:r>
      </w:hyperlink>
    </w:p>
    <w:bookmarkEnd w:id="285"/>
    <w:bookmarkStart w:id="287"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
          <w:iCs/>
        </w:rPr>
        <w:t xml:space="preserve">Forest Ecology and Management</w:t>
      </w:r>
      <w:r>
        <w:t xml:space="preserve">,</w:t>
      </w:r>
      <w:r>
        <w:t xml:space="preserve"> </w:t>
      </w:r>
      <w:r>
        <w:rPr>
          <w:i/>
          <w:iCs/>
        </w:rPr>
        <w:t xml:space="preserve">303</w:t>
      </w:r>
      <w:r>
        <w:t xml:space="preserve">, 175–183.</w:t>
      </w:r>
      <w:r>
        <w:t xml:space="preserve"> </w:t>
      </w:r>
      <w:hyperlink r:id="rId286">
        <w:r>
          <w:rPr>
            <w:rStyle w:val="Hyperlink"/>
          </w:rPr>
          <w:t xml:space="preserve">https://doi.org/10.1016/j.foreco.2013.04.015</w:t>
        </w:r>
      </w:hyperlink>
    </w:p>
    <w:bookmarkEnd w:id="287"/>
    <w:bookmarkStart w:id="288" w:name="X967046730ee9c75b5734d4dc777df7f364d8685"/>
    <w:p>
      <w:pPr>
        <w:pStyle w:val="Bibliography"/>
      </w:pPr>
      <w:r>
        <w:t xml:space="preserve">Schütz, J.-P. (1999). Close-to-nature silviculture: Is this concept compatible with species diversity?</w:t>
      </w:r>
      <w:r>
        <w:t xml:space="preserve"> </w:t>
      </w:r>
      <w:r>
        <w:rPr>
          <w:i/>
          <w:iCs/>
        </w:rPr>
        <w:t xml:space="preserve">Forestry</w:t>
      </w:r>
      <w:r>
        <w:t xml:space="preserve">,</w:t>
      </w:r>
      <w:r>
        <w:t xml:space="preserve"> </w:t>
      </w:r>
      <w:r>
        <w:rPr>
          <w:i/>
          <w:iCs/>
        </w:rPr>
        <w:t xml:space="preserve">72</w:t>
      </w:r>
      <w:r>
        <w:t xml:space="preserve">(4), 359–366.</w:t>
      </w:r>
    </w:p>
    <w:bookmarkEnd w:id="288"/>
    <w:bookmarkStart w:id="290" w:name="ref-schutzSilviculturalToolsDevelop2002"/>
    <w:p>
      <w:pPr>
        <w:pStyle w:val="Bibliography"/>
      </w:pPr>
      <w:r>
        <w:t xml:space="preserve">Schütz, J.-P. (2002). Silvicultural tools to develop irregular and diverse forest structures.</w:t>
      </w:r>
      <w:r>
        <w:t xml:space="preserve"> </w:t>
      </w:r>
      <w:r>
        <w:rPr>
          <w:i/>
          <w:iCs/>
        </w:rPr>
        <w:t xml:space="preserve">Forestry: An International Journal of Forest Research</w:t>
      </w:r>
      <w:r>
        <w:t xml:space="preserve">,</w:t>
      </w:r>
      <w:r>
        <w:t xml:space="preserve"> </w:t>
      </w:r>
      <w:r>
        <w:rPr>
          <w:i/>
          <w:iCs/>
        </w:rPr>
        <w:t xml:space="preserve">75</w:t>
      </w:r>
      <w:r>
        <w:t xml:space="preserve">(4), 329–337.</w:t>
      </w:r>
      <w:r>
        <w:t xml:space="preserve"> </w:t>
      </w:r>
      <w:hyperlink r:id="rId289">
        <w:r>
          <w:rPr>
            <w:rStyle w:val="Hyperlink"/>
          </w:rPr>
          <w:t xml:space="preserve">https://doi.org/10.1093/forestry/75.4.329</w:t>
        </w:r>
      </w:hyperlink>
    </w:p>
    <w:bookmarkEnd w:id="290"/>
    <w:bookmarkStart w:id="291"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
          <w:iCs/>
        </w:rPr>
        <w:t xml:space="preserve">Ecological Applications</w:t>
      </w:r>
      <w:r>
        <w:t xml:space="preserve">,</w:t>
      </w:r>
      <w:r>
        <w:t xml:space="preserve"> </w:t>
      </w:r>
      <w:r>
        <w:rPr>
          <w:i/>
          <w:iCs/>
        </w:rPr>
        <w:t xml:space="preserve">19</w:t>
      </w:r>
      <w:r>
        <w:t xml:space="preserve">(2), 285–304.</w:t>
      </w:r>
    </w:p>
    <w:bookmarkEnd w:id="291"/>
    <w:bookmarkStart w:id="293"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
          <w:iCs/>
        </w:rPr>
        <w:t xml:space="preserve">Forest Ecology and Management</w:t>
      </w:r>
      <w:r>
        <w:t xml:space="preserve">,</w:t>
      </w:r>
      <w:r>
        <w:t xml:space="preserve"> </w:t>
      </w:r>
      <w:r>
        <w:rPr>
          <w:i/>
          <w:iCs/>
        </w:rPr>
        <w:t xml:space="preserve">285</w:t>
      </w:r>
      <w:r>
        <w:t xml:space="preserve">, 204–212.</w:t>
      </w:r>
      <w:r>
        <w:t xml:space="preserve"> </w:t>
      </w:r>
      <w:hyperlink r:id="rId292">
        <w:r>
          <w:rPr>
            <w:rStyle w:val="Hyperlink"/>
          </w:rPr>
          <w:t xml:space="preserve">https://doi.org/10.1016/j.foreco.2012.08.030</w:t>
        </w:r>
      </w:hyperlink>
    </w:p>
    <w:bookmarkEnd w:id="293"/>
    <w:bookmarkStart w:id="295"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
          <w:iCs/>
        </w:rPr>
        <w:t xml:space="preserve">Ecological Applications</w:t>
      </w:r>
      <w:r>
        <w:t xml:space="preserve">,</w:t>
      </w:r>
      <w:r>
        <w:t xml:space="preserve"> </w:t>
      </w:r>
      <w:r>
        <w:rPr>
          <w:i/>
          <w:iCs/>
        </w:rPr>
        <w:t xml:space="preserve">19</w:t>
      </w:r>
      <w:r>
        <w:t xml:space="preserve">(2), 305–320.</w:t>
      </w:r>
      <w:r>
        <w:t xml:space="preserve"> </w:t>
      </w:r>
      <w:hyperlink r:id="rId294">
        <w:r>
          <w:rPr>
            <w:rStyle w:val="Hyperlink"/>
          </w:rPr>
          <w:t xml:space="preserve">https://esajournals.onlinelibrary.wiley.com/doi/full/10.1890/07-1755.1</w:t>
        </w:r>
      </w:hyperlink>
    </w:p>
    <w:bookmarkEnd w:id="295"/>
    <w:bookmarkStart w:id="296" w:name="ref-stuartRedwoodFireEcology1985"/>
    <w:p>
      <w:pPr>
        <w:pStyle w:val="Bibliography"/>
      </w:pPr>
      <w:r>
        <w:t xml:space="preserve">Stuart, J. (1985).</w:t>
      </w:r>
      <w:r>
        <w:t xml:space="preserve"> </w:t>
      </w:r>
      <w:r>
        <w:rPr>
          <w:i/>
          <w:iCs/>
        </w:rPr>
        <w:t xml:space="preserve">Redwood fire ecology: Final report submitted to</w:t>
      </w:r>
      <w:r>
        <w:rPr>
          <w:i/>
          <w:iCs/>
        </w:rPr>
        <w:t xml:space="preserve"> </w:t>
      </w:r>
      <w:r>
        <w:rPr>
          <w:i/>
          <w:iCs/>
        </w:rPr>
        <w:t xml:space="preserve">California Department</w:t>
      </w:r>
      <w:r>
        <w:rPr>
          <w:i/>
          <w:iCs/>
        </w:rPr>
        <w:t xml:space="preserve"> </w:t>
      </w:r>
      <w:r>
        <w:rPr>
          <w:i/>
          <w:iCs/>
        </w:rPr>
        <w:t xml:space="preserve">of</w:t>
      </w:r>
      <w:r>
        <w:rPr>
          <w:i/>
          <w:iCs/>
        </w:rPr>
        <w:t xml:space="preserve"> </w:t>
      </w:r>
      <w:r>
        <w:rPr>
          <w:i/>
          <w:iCs/>
        </w:rPr>
        <w:t xml:space="preserve">Parks</w:t>
      </w:r>
      <w:r>
        <w:rPr>
          <w:i/>
          <w:iCs/>
        </w:rPr>
        <w:t xml:space="preserve"> </w:t>
      </w:r>
      <w:r>
        <w:rPr>
          <w:i/>
          <w:iCs/>
        </w:rPr>
        <w:t xml:space="preserve">and</w:t>
      </w:r>
      <w:r>
        <w:rPr>
          <w:i/>
          <w:iCs/>
        </w:rPr>
        <w:t xml:space="preserve"> </w:t>
      </w:r>
      <w:r>
        <w:rPr>
          <w:i/>
          <w:iCs/>
        </w:rPr>
        <w:t xml:space="preserve">Recreation</w:t>
      </w:r>
      <w:r>
        <w:t xml:space="preserve">. Forestry Department, Humboldt State University.</w:t>
      </w:r>
    </w:p>
    <w:bookmarkEnd w:id="296"/>
    <w:bookmarkStart w:id="298"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
          <w:iCs/>
        </w:rPr>
        <w:t xml:space="preserve">Forest Ecology and Management</w:t>
      </w:r>
      <w:r>
        <w:t xml:space="preserve">,</w:t>
      </w:r>
      <w:r>
        <w:t xml:space="preserve"> </w:t>
      </w:r>
      <w:r>
        <w:rPr>
          <w:i/>
          <w:iCs/>
        </w:rPr>
        <w:t xml:space="preserve">375</w:t>
      </w:r>
      <w:r>
        <w:t xml:space="preserve">, 279–308.</w:t>
      </w:r>
      <w:r>
        <w:t xml:space="preserve"> </w:t>
      </w:r>
      <w:hyperlink r:id="rId297">
        <w:r>
          <w:rPr>
            <w:rStyle w:val="Hyperlink"/>
          </w:rPr>
          <w:t xml:space="preserve">https://doi.org/10.1016/j.foreco.2016.05.018</w:t>
        </w:r>
      </w:hyperlink>
    </w:p>
    <w:bookmarkEnd w:id="298"/>
    <w:bookmarkStart w:id="299" w:name="ref-varnerEnigmaticFireRegime2017"/>
    <w:p>
      <w:pPr>
        <w:pStyle w:val="Bibliography"/>
      </w:pPr>
      <w:r>
        <w:t xml:space="preserve">Varner, J. M., &amp; Jules, E. S. (2017). The enigmatic fire regime of coast redwood forests and why it matters.</w:t>
      </w:r>
      <w:r>
        <w:t xml:space="preserve"> </w:t>
      </w:r>
      <w:r>
        <w:rPr>
          <w:i/>
          <w:iCs/>
        </w:rPr>
        <w:t xml:space="preserve">Gen. Tech. Rep. PSW-GTR-258. Albany, CA: US Department of Agriculture, Forest Service, Pacific Southwest Research Station: 15-18</w:t>
      </w:r>
      <w:r>
        <w:t xml:space="preserve">,</w:t>
      </w:r>
      <w:r>
        <w:t xml:space="preserve"> </w:t>
      </w:r>
      <w:r>
        <w:rPr>
          <w:i/>
          <w:iCs/>
        </w:rPr>
        <w:t xml:space="preserve">258</w:t>
      </w:r>
      <w:r>
        <w:t xml:space="preserve">, 15–18.</w:t>
      </w:r>
    </w:p>
    <w:bookmarkEnd w:id="299"/>
    <w:bookmarkStart w:id="301" w:name="ref-varnerFiresTanoakEffects2017"/>
    <w:p>
      <w:pPr>
        <w:pStyle w:val="Bibliography"/>
      </w:pPr>
      <w:r>
        <w:t xml:space="preserve">Varner, J. M., Kuljian, H. G., &amp; Kreye, J. K. (2017). Fires without tanoak: The effects of a non-native disease on future community flammability.</w:t>
      </w:r>
      <w:r>
        <w:t xml:space="preserve"> </w:t>
      </w:r>
      <w:r>
        <w:rPr>
          <w:i/>
          <w:iCs/>
        </w:rPr>
        <w:t xml:space="preserve">Biological Invasions</w:t>
      </w:r>
      <w:r>
        <w:t xml:space="preserve">,</w:t>
      </w:r>
      <w:r>
        <w:t xml:space="preserve"> </w:t>
      </w:r>
      <w:r>
        <w:rPr>
          <w:i/>
          <w:iCs/>
        </w:rPr>
        <w:t xml:space="preserve">19</w:t>
      </w:r>
      <w:r>
        <w:t xml:space="preserve">(8), 2307–2317.</w:t>
      </w:r>
      <w:r>
        <w:t xml:space="preserve"> </w:t>
      </w:r>
      <w:hyperlink r:id="rId300">
        <w:r>
          <w:rPr>
            <w:rStyle w:val="Hyperlink"/>
          </w:rPr>
          <w:t xml:space="preserve">https://doi.org/10.1007/s10530-017-1443-z</w:t>
        </w:r>
      </w:hyperlink>
    </w:p>
    <w:bookmarkEnd w:id="301"/>
    <w:bookmarkStart w:id="303"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
          <w:iCs/>
        </w:rPr>
        <w:t xml:space="preserve">Forest Ecology and Management</w:t>
      </w:r>
      <w:r>
        <w:t xml:space="preserve">,</w:t>
      </w:r>
      <w:r>
        <w:t xml:space="preserve"> </w:t>
      </w:r>
      <w:r>
        <w:rPr>
          <w:i/>
          <w:iCs/>
        </w:rPr>
        <w:t xml:space="preserve">527</w:t>
      </w:r>
      <w:r>
        <w:t xml:space="preserve">, 120602.</w:t>
      </w:r>
      <w:r>
        <w:t xml:space="preserve"> </w:t>
      </w:r>
      <w:hyperlink r:id="rId302">
        <w:r>
          <w:rPr>
            <w:rStyle w:val="Hyperlink"/>
          </w:rPr>
          <w:t xml:space="preserve">https://doi.org/10.1016/j.foreco.2022.120602</w:t>
        </w:r>
      </w:hyperlink>
    </w:p>
    <w:bookmarkEnd w:id="303"/>
    <w:bookmarkStart w:id="305" w:name="ref-waringRedwoodTanoakStand2008"/>
    <w:p>
      <w:pPr>
        <w:pStyle w:val="Bibliography"/>
      </w:pPr>
      <w:r>
        <w:t xml:space="preserve">Waring, K. M., &amp; O’Hara, K. L. (2008). Redwood/tanoak stand development and response to tanoak mortality caused by</w:t>
      </w:r>
      <w:r>
        <w:t xml:space="preserve"> </w:t>
      </w:r>
      <w:r>
        <w:rPr>
          <w:i/>
          <w:iCs/>
        </w:rPr>
        <w:t xml:space="preserve">Phytophthora</w:t>
      </w:r>
      <w:r>
        <w:rPr>
          <w:i/>
          <w:iCs/>
        </w:rPr>
        <w:t xml:space="preserve"> </w:t>
      </w:r>
      <w:r>
        <w:rPr>
          <w:i/>
          <w:iCs/>
        </w:rPr>
        <w:t xml:space="preserve">Ramorum</w:t>
      </w:r>
      <w:r>
        <w:t xml:space="preserve">.</w:t>
      </w:r>
      <w:r>
        <w:t xml:space="preserve"> </w:t>
      </w:r>
      <w:r>
        <w:rPr>
          <w:i/>
          <w:iCs/>
        </w:rPr>
        <w:t xml:space="preserve">Forest Ecology and Management</w:t>
      </w:r>
      <w:r>
        <w:t xml:space="preserve">,</w:t>
      </w:r>
      <w:r>
        <w:t xml:space="preserve"> </w:t>
      </w:r>
      <w:r>
        <w:rPr>
          <w:i/>
          <w:iCs/>
        </w:rPr>
        <w:t xml:space="preserve">255</w:t>
      </w:r>
      <w:r>
        <w:t xml:space="preserve">(7), 2650–2658.</w:t>
      </w:r>
      <w:r>
        <w:t xml:space="preserve"> </w:t>
      </w:r>
      <w:hyperlink r:id="rId304">
        <w:r>
          <w:rPr>
            <w:rStyle w:val="Hyperlink"/>
          </w:rPr>
          <w:t xml:space="preserve">https://doi.org/10.1016/j.foreco.2008.01.025</w:t>
        </w:r>
      </w:hyperlink>
    </w:p>
    <w:bookmarkEnd w:id="305"/>
    <w:bookmarkStart w:id="307"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
          <w:iCs/>
        </w:rPr>
        <w:t xml:space="preserve">Proceedings of coast redwood forests in a changing</w:t>
      </w:r>
      <w:r>
        <w:rPr>
          <w:i/>
          <w:iCs/>
        </w:rPr>
        <w:t xml:space="preserve"> </w:t>
      </w:r>
      <w:r>
        <w:rPr>
          <w:i/>
          <w:iCs/>
        </w:rPr>
        <w:t xml:space="preserve">California</w:t>
      </w:r>
      <w:r>
        <w:rPr>
          <w:i/>
          <w:iCs/>
        </w:rPr>
        <w:t xml:space="preserve">:</w:t>
      </w:r>
      <w:r>
        <w:rPr>
          <w:i/>
          <w:iCs/>
        </w:rPr>
        <w:t xml:space="preserve"> </w:t>
      </w:r>
      <w:r>
        <w:rPr>
          <w:i/>
          <w:iCs/>
        </w:rPr>
        <w:t xml:space="preserve">A</w:t>
      </w:r>
      <w:r>
        <w:rPr>
          <w:i/>
          <w:iCs/>
        </w:rPr>
        <w:t xml:space="preserve"> </w:t>
      </w:r>
      <w:r>
        <w:rPr>
          <w:i/>
          <w:iCs/>
        </w:rPr>
        <w:t xml:space="preserve">symposium for scientists and managers.</w:t>
      </w:r>
      <w:r>
        <w:t xml:space="preserve"> </w:t>
      </w:r>
      <w:r>
        <w:t xml:space="preserve">(Vol. 238, pp. 571–581). Pacific Southwest Research Station, Forest Service, U.S. Department of Agriculture.</w:t>
      </w:r>
      <w:r>
        <w:t xml:space="preserve"> </w:t>
      </w:r>
      <w:hyperlink r:id="rId306">
        <w:r>
          <w:rPr>
            <w:rStyle w:val="Hyperlink"/>
          </w:rPr>
          <w:t xml:space="preserve">https://www.fs.usda.gov/research/treesearch/41828</w:t>
        </w:r>
      </w:hyperlink>
    </w:p>
    <w:bookmarkEnd w:id="307"/>
    <w:bookmarkStart w:id="309"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
          <w:iCs/>
        </w:rPr>
        <w:t xml:space="preserve">Hilgardia</w:t>
      </w:r>
      <w:r>
        <w:t xml:space="preserve">,</w:t>
      </w:r>
      <w:r>
        <w:t xml:space="preserve"> </w:t>
      </w:r>
      <w:r>
        <w:rPr>
          <w:i/>
          <w:iCs/>
        </w:rPr>
        <w:t xml:space="preserve">54</w:t>
      </w:r>
      <w:r>
        <w:t xml:space="preserve">(8), 1–14.</w:t>
      </w:r>
      <w:r>
        <w:t xml:space="preserve"> </w:t>
      </w:r>
      <w:hyperlink r:id="rId308">
        <w:r>
          <w:rPr>
            <w:rStyle w:val="Hyperlink"/>
          </w:rPr>
          <w:t xml:space="preserve">http://hilgardia.ucanr.edu/Abstract/?a=hilg.v54n08p017</w:t>
        </w:r>
      </w:hyperlink>
    </w:p>
    <w:bookmarkEnd w:id="309"/>
    <w:bookmarkStart w:id="311"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
          <w:iCs/>
        </w:rPr>
        <w:t xml:space="preserve">Philosophical Transactions of the Royal Society B: Biological Sciences</w:t>
      </w:r>
      <w:r>
        <w:t xml:space="preserve">,</w:t>
      </w:r>
      <w:r>
        <w:t xml:space="preserve"> </w:t>
      </w:r>
      <w:r>
        <w:rPr>
          <w:i/>
          <w:iCs/>
        </w:rPr>
        <w:t xml:space="preserve">371</w:t>
      </w:r>
      <w:r>
        <w:t xml:space="preserve">(1696), 20150178.</w:t>
      </w:r>
      <w:r>
        <w:t xml:space="preserve"> </w:t>
      </w:r>
      <w:hyperlink r:id="rId310">
        <w:r>
          <w:rPr>
            <w:rStyle w:val="Hyperlink"/>
          </w:rPr>
          <w:t xml:space="preserve">https://doi.org/10.1098/rstb.2015.0178</w:t>
        </w:r>
      </w:hyperlink>
    </w:p>
    <w:bookmarkEnd w:id="311"/>
    <w:bookmarkStart w:id="312" w:name="ref-wiantSproutingOldgrowthRedwood1967"/>
    <w:p>
      <w:pPr>
        <w:pStyle w:val="Bibliography"/>
      </w:pPr>
      <w:r>
        <w:t xml:space="preserve">Wiant, H. V. J., &amp; Powers, R. F. (1967). Sprouting of old-growth redwood.</w:t>
      </w:r>
      <w:r>
        <w:t xml:space="preserve"> </w:t>
      </w:r>
      <w:r>
        <w:rPr>
          <w:i/>
          <w:iCs/>
        </w:rPr>
        <w:t xml:space="preserve">Society of</w:t>
      </w:r>
      <w:r>
        <w:rPr>
          <w:i/>
          <w:iCs/>
        </w:rPr>
        <w:t xml:space="preserve"> </w:t>
      </w:r>
      <w:r>
        <w:rPr>
          <w:i/>
          <w:iCs/>
        </w:rPr>
        <w:t xml:space="preserve">American Foresters Meeting Proceedings</w:t>
      </w:r>
      <w:r>
        <w:rPr>
          <w:i/>
          <w:iCs/>
        </w:rPr>
        <w:t xml:space="preserve"> </w:t>
      </w:r>
      <w:r>
        <w:rPr>
          <w:i/>
          <w:iCs/>
        </w:rPr>
        <w:t xml:space="preserve">1966</w:t>
      </w:r>
      <w:r>
        <w:t xml:space="preserve">, 88–90.</w:t>
      </w:r>
    </w:p>
    <w:bookmarkEnd w:id="312"/>
    <w:bookmarkStart w:id="314" w:name="ref-wilderFuelsTreatmentsTending2025"/>
    <w:p>
      <w:pPr>
        <w:pStyle w:val="Bibliography"/>
      </w:pPr>
      <w:r>
        <w:t xml:space="preserve">Wilder, J. D., Shuttle, K. A., Kane, J. M., &amp; Berrill, J.-P. (2025). Fuels</w:t>
      </w:r>
      <w:r>
        <w:t xml:space="preserve"> </w:t>
      </w:r>
      <w:r>
        <w:t xml:space="preserve">Treatments</w:t>
      </w:r>
      <w:r>
        <w:t xml:space="preserve"> </w:t>
      </w:r>
      <w:r>
        <w:t xml:space="preserve">and</w:t>
      </w:r>
      <w:r>
        <w:t xml:space="preserve"> </w:t>
      </w:r>
      <w:r>
        <w:t xml:space="preserve">Tending Reduce Simulated Wildfire Impacts</w:t>
      </w:r>
      <w:r>
        <w:t xml:space="preserve"> </w:t>
      </w:r>
      <w:r>
        <w:t xml:space="preserve">in</w:t>
      </w:r>
      <w:r>
        <w:t xml:space="preserve"> </w:t>
      </w:r>
      <w:r>
        <w:t xml:space="preserve">Sequoia</w:t>
      </w:r>
      <w:r>
        <w:t xml:space="preserve"> </w:t>
      </w:r>
      <w:r>
        <w:t xml:space="preserve">sempervirens</w:t>
      </w:r>
      <w:r>
        <w:t xml:space="preserve"> </w:t>
      </w:r>
      <w:r>
        <w:t xml:space="preserve">Under Single-Tree</w:t>
      </w:r>
      <w:r>
        <w:t xml:space="preserve"> </w:t>
      </w:r>
      <w:r>
        <w:t xml:space="preserve">and</w:t>
      </w:r>
      <w:r>
        <w:t xml:space="preserve"> </w:t>
      </w:r>
      <w:r>
        <w:t xml:space="preserve">Group Selection</w:t>
      </w:r>
      <w:r>
        <w:t xml:space="preserve">.</w:t>
      </w:r>
      <w:r>
        <w:t xml:space="preserve"> </w:t>
      </w:r>
      <w:r>
        <w:rPr>
          <w:i/>
          <w:iCs/>
        </w:rPr>
        <w:t xml:space="preserve">Forests</w:t>
      </w:r>
      <w:r>
        <w:t xml:space="preserve">,</w:t>
      </w:r>
      <w:r>
        <w:t xml:space="preserve"> </w:t>
      </w:r>
      <w:r>
        <w:rPr>
          <w:i/>
          <w:iCs/>
        </w:rPr>
        <w:t xml:space="preserve">16</w:t>
      </w:r>
      <w:r>
        <w:t xml:space="preserve">(6, 6), 1000.</w:t>
      </w:r>
      <w:r>
        <w:t xml:space="preserve"> </w:t>
      </w:r>
      <w:hyperlink r:id="rId313">
        <w:r>
          <w:rPr>
            <w:rStyle w:val="Hyperlink"/>
          </w:rPr>
          <w:t xml:space="preserve">https://doi.org/10.3390/f16061000</w:t>
        </w:r>
      </w:hyperlink>
    </w:p>
    <w:bookmarkEnd w:id="314"/>
    <w:bookmarkStart w:id="316" w:name="ref-wilkinsonTanoakSproutDevelopment1997"/>
    <w:p>
      <w:pPr>
        <w:pStyle w:val="Bibliography"/>
      </w:pPr>
      <w:r>
        <w:t xml:space="preserve">Wilkinson, W. H., McDonald, P. M., &amp; Morgan, P. (1997). Tanoak sprout development after cutting and burning in a shade environment.</w:t>
      </w:r>
      <w:r>
        <w:t xml:space="preserve"> </w:t>
      </w:r>
      <w:r>
        <w:rPr>
          <w:i/>
          <w:iCs/>
        </w:rPr>
        <w:t xml:space="preserve">Western Journal of Applied Forestry</w:t>
      </w:r>
      <w:r>
        <w:t xml:space="preserve">,</w:t>
      </w:r>
      <w:r>
        <w:t xml:space="preserve"> </w:t>
      </w:r>
      <w:r>
        <w:rPr>
          <w:i/>
          <w:iCs/>
        </w:rPr>
        <w:t xml:space="preserve">12</w:t>
      </w:r>
      <w:r>
        <w:t xml:space="preserve">(1), 21–26.</w:t>
      </w:r>
      <w:r>
        <w:t xml:space="preserve"> </w:t>
      </w:r>
      <w:hyperlink r:id="rId315">
        <w:r>
          <w:rPr>
            <w:rStyle w:val="Hyperlink"/>
          </w:rPr>
          <w:t xml:space="preserve">https://doi.org/10.1093/wjaf/12.1.21</w:t>
        </w:r>
      </w:hyperlink>
    </w:p>
    <w:bookmarkEnd w:id="316"/>
    <w:bookmarkStart w:id="318"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
          <w:iCs/>
        </w:rPr>
        <w:t xml:space="preserve">Encyclopedia of</w:t>
      </w:r>
      <w:r>
        <w:rPr>
          <w:i/>
          <w:iCs/>
        </w:rPr>
        <w:t xml:space="preserve"> </w:t>
      </w:r>
      <w:r>
        <w:rPr>
          <w:i/>
          <w:iCs/>
        </w:rPr>
        <w:t xml:space="preserve">Wildfires</w:t>
      </w:r>
      <w:r>
        <w:rPr>
          <w:i/>
          <w:iCs/>
        </w:rPr>
        <w:t xml:space="preserve"> </w:t>
      </w:r>
      <w:r>
        <w:rPr>
          <w:i/>
          <w:iCs/>
        </w:rPr>
        <w:t xml:space="preserve">and</w:t>
      </w:r>
      <w:r>
        <w:rPr>
          <w:i/>
          <w:iCs/>
        </w:rPr>
        <w:t xml:space="preserve"> </w:t>
      </w:r>
      <w:r>
        <w:rPr>
          <w:i/>
          <w:iCs/>
        </w:rPr>
        <w:t xml:space="preserve">Wildland-Urban Interface</w:t>
      </w:r>
      <w:r>
        <w:rPr>
          <w:i/>
          <w:iCs/>
        </w:rPr>
        <w:t xml:space="preserve"> </w:t>
      </w:r>
      <w:r>
        <w:rPr>
          <w:i/>
          <w:iCs/>
        </w:rPr>
        <w:t xml:space="preserve">(</w:t>
      </w:r>
      <w:r>
        <w:rPr>
          <w:i/>
          <w:iCs/>
        </w:rPr>
        <w:t xml:space="preserve">WUI</w:t>
      </w:r>
      <w:r>
        <w:rPr>
          <w:i/>
          <w:iCs/>
        </w:rPr>
        <w:t xml:space="preserve">)</w:t>
      </w:r>
      <w:r>
        <w:rPr>
          <w:i/>
          <w:iCs/>
        </w:rPr>
        <w:t xml:space="preserve"> </w:t>
      </w:r>
      <w:r>
        <w:rPr>
          <w:i/>
          <w:iCs/>
        </w:rPr>
        <w:t xml:space="preserve">Fires</w:t>
      </w:r>
      <w:r>
        <w:t xml:space="preserve"> </w:t>
      </w:r>
      <w:r>
        <w:t xml:space="preserve">(pp. 1–15). Springer International Publishing.</w:t>
      </w:r>
      <w:r>
        <w:t xml:space="preserve"> </w:t>
      </w:r>
      <w:hyperlink r:id="rId317">
        <w:r>
          <w:rPr>
            <w:rStyle w:val="Hyperlink"/>
          </w:rPr>
          <w:t xml:space="preserve">https://doi.org/10.1007/978-3-319-51727-8_13-1</w:t>
        </w:r>
      </w:hyperlink>
    </w:p>
    <w:bookmarkEnd w:id="318"/>
    <w:bookmarkStart w:id="319"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
          <w:iCs/>
        </w:rPr>
        <w:t xml:space="preserve">Canadian Journal of Forest Research</w:t>
      </w:r>
      <w:r>
        <w:t xml:space="preserve">,</w:t>
      </w:r>
      <w:r>
        <w:t xml:space="preserve"> </w:t>
      </w:r>
      <w:r>
        <w:rPr>
          <w:i/>
          <w:iCs/>
        </w:rPr>
        <w:t xml:space="preserve">51</w:t>
      </w:r>
      <w:r>
        <w:t xml:space="preserve">(999), 1–11.</w:t>
      </w:r>
    </w:p>
    <w:bookmarkEnd w:id="319"/>
    <w:bookmarkEnd w:id="320"/>
    <w:bookmarkEnd w:id="32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hyperlink" Id="rId308" Target="http://hilgardia.ucanr.edu/Abstract/?a=hilg.v54n08p017" TargetMode="External" /><Relationship Type="http://schemas.openxmlformats.org/officeDocument/2006/relationships/hyperlink" Id="rId198" Target="https://CRAN.R-project.org/package=DHARMa" TargetMode="External" /><Relationship Type="http://schemas.openxmlformats.org/officeDocument/2006/relationships/hyperlink" Id="rId227" Target="https://CRAN.R-project.org/package=emmeans" TargetMode="External" /><Relationship Type="http://schemas.openxmlformats.org/officeDocument/2006/relationships/hyperlink" Id="rId204" Target="https://academic.oup.com/jof/article-abstract/83/8/494/4647048" TargetMode="External" /><Relationship Type="http://schemas.openxmlformats.org/officeDocument/2006/relationships/hyperlink" Id="rId206" Target="https://books.google.com?id=x3tw07l1IQQC" TargetMode="External" /><Relationship Type="http://schemas.openxmlformats.org/officeDocument/2006/relationships/hyperlink" Id="rId233" Target="https://catalog.hathitrust.org/Record/010837951" TargetMode="External" /><Relationship Type="http://schemas.openxmlformats.org/officeDocument/2006/relationships/hyperlink" Id="rId246" Target="https://digitalcommons.humboldt.edu/etd/269" TargetMode="External" /><Relationship Type="http://schemas.openxmlformats.org/officeDocument/2006/relationships/hyperlink" Id="rId254" Target="https://doi.org/10.1002/ece3.3737" TargetMode="External" /><Relationship Type="http://schemas.openxmlformats.org/officeDocument/2006/relationships/hyperlink" Id="rId317" Target="https://doi.org/10.1007/978-3-319-51727-8_13-1" TargetMode="External" /><Relationship Type="http://schemas.openxmlformats.org/officeDocument/2006/relationships/hyperlink" Id="rId170" Target="https://doi.org/10.1007/BF02858075" TargetMode="External" /><Relationship Type="http://schemas.openxmlformats.org/officeDocument/2006/relationships/hyperlink" Id="rId229" Target="https://doi.org/10.1007/s00442-002-0986-5" TargetMode="External" /><Relationship Type="http://schemas.openxmlformats.org/officeDocument/2006/relationships/hyperlink" Id="rId265" Target="https://doi.org/10.1007/s10310-009-0166-0" TargetMode="External" /><Relationship Type="http://schemas.openxmlformats.org/officeDocument/2006/relationships/hyperlink" Id="rId300" Target="https://doi.org/10.1007/s10530-017-1443-z" TargetMode="External" /><Relationship Type="http://schemas.openxmlformats.org/officeDocument/2006/relationships/hyperlink" Id="rId214" Target="https://doi.org/10.1007/s10980-012-9773-9" TargetMode="External" /><Relationship Type="http://schemas.openxmlformats.org/officeDocument/2006/relationships/hyperlink" Id="rId217" Target="https://doi.org/10.1007/s11056-015-9470-z" TargetMode="External" /><Relationship Type="http://schemas.openxmlformats.org/officeDocument/2006/relationships/hyperlink" Id="rId153" Target="https://doi.org/10.1007/s11056-018-9636-6" TargetMode="External" /><Relationship Type="http://schemas.openxmlformats.org/officeDocument/2006/relationships/hyperlink" Id="rId261" Target="https://doi.org/10.1016/S0378-1127(00)00698-8" TargetMode="External" /><Relationship Type="http://schemas.openxmlformats.org/officeDocument/2006/relationships/hyperlink" Id="rId208" Target="https://doi.org/10.1016/j.agrformet.2021.108602" TargetMode="External" /><Relationship Type="http://schemas.openxmlformats.org/officeDocument/2006/relationships/hyperlink" Id="rId135" Target="https://doi.org/10.1016/j.foreco.2005.01.034" TargetMode="External" /><Relationship Type="http://schemas.openxmlformats.org/officeDocument/2006/relationships/hyperlink" Id="rId269" Target="https://doi.org/10.1016/j.foreco.2007.03.062" TargetMode="External" /><Relationship Type="http://schemas.openxmlformats.org/officeDocument/2006/relationships/hyperlink" Id="rId304" Target="https://doi.org/10.1016/j.foreco.2008.01.025" TargetMode="External" /><Relationship Type="http://schemas.openxmlformats.org/officeDocument/2006/relationships/hyperlink" Id="rId141" Target="https://doi.org/10.1016/j.foreco.2008.11.028" TargetMode="External" /><Relationship Type="http://schemas.openxmlformats.org/officeDocument/2006/relationships/hyperlink" Id="rId235" Target="https://doi.org/10.1016/j.foreco.2009.07.008" TargetMode="External" /><Relationship Type="http://schemas.openxmlformats.org/officeDocument/2006/relationships/hyperlink" Id="rId225" Target="https://doi.org/10.1016/j.foreco.2010.02.022" TargetMode="External" /><Relationship Type="http://schemas.openxmlformats.org/officeDocument/2006/relationships/hyperlink" Id="rId292" Target="https://doi.org/10.1016/j.foreco.2012.08.030" TargetMode="External" /><Relationship Type="http://schemas.openxmlformats.org/officeDocument/2006/relationships/hyperlink" Id="rId286" Target="https://doi.org/10.1016/j.foreco.2013.04.015" TargetMode="External" /><Relationship Type="http://schemas.openxmlformats.org/officeDocument/2006/relationships/hyperlink" Id="rId219" Target="https://doi.org/10.1016/j.foreco.2014.01.045" TargetMode="External" /><Relationship Type="http://schemas.openxmlformats.org/officeDocument/2006/relationships/hyperlink" Id="rId179" Target="https://doi.org/10.1016/j.foreco.2014.06.025" TargetMode="External" /><Relationship Type="http://schemas.openxmlformats.org/officeDocument/2006/relationships/hyperlink" Id="rId297" Target="https://doi.org/10.1016/j.foreco.2016.05.018" TargetMode="External" /><Relationship Type="http://schemas.openxmlformats.org/officeDocument/2006/relationships/hyperlink" Id="rId164" Target="https://doi.org/10.1016/j.foreco.2016.09.010" TargetMode="External" /><Relationship Type="http://schemas.openxmlformats.org/officeDocument/2006/relationships/hyperlink" Id="rId271" Target="https://doi.org/10.1016/j.foreco.2021.119361" TargetMode="External" /><Relationship Type="http://schemas.openxmlformats.org/officeDocument/2006/relationships/hyperlink" Id="rId252" Target="https://doi.org/10.1016/j.foreco.2022.120136" TargetMode="External" /><Relationship Type="http://schemas.openxmlformats.org/officeDocument/2006/relationships/hyperlink" Id="rId248" Target="https://doi.org/10.1016/j.foreco.2022.120236" TargetMode="External" /><Relationship Type="http://schemas.openxmlformats.org/officeDocument/2006/relationships/hyperlink" Id="rId162" Target="https://doi.org/10.1016/j.foreco.2022.120353" TargetMode="External" /><Relationship Type="http://schemas.openxmlformats.org/officeDocument/2006/relationships/hyperlink" Id="rId302" Target="https://doi.org/10.1016/j.foreco.2022.120602" TargetMode="External" /><Relationship Type="http://schemas.openxmlformats.org/officeDocument/2006/relationships/hyperlink" Id="rId185" Target="https://doi.org/10.1023/A:1006502107495" TargetMode="External" /><Relationship Type="http://schemas.openxmlformats.org/officeDocument/2006/relationships/hyperlink" Id="rId274" Target="https://doi.org/10.1029/2020GL089858" TargetMode="External" /><Relationship Type="http://schemas.openxmlformats.org/officeDocument/2006/relationships/hyperlink" Id="rId212" Target="https://doi.org/10.1071/wf01028" TargetMode="External" /><Relationship Type="http://schemas.openxmlformats.org/officeDocument/2006/relationships/hyperlink" Id="rId289" Target="https://doi.org/10.1093/forestry/75.4.329" TargetMode="External" /><Relationship Type="http://schemas.openxmlformats.org/officeDocument/2006/relationships/hyperlink" Id="rId263" Target="https://doi.org/10.1093/forestry/75.4.339" TargetMode="External" /><Relationship Type="http://schemas.openxmlformats.org/officeDocument/2006/relationships/hyperlink" Id="rId278" Target="https://doi.org/10.1093/forestscience/16.3.339" TargetMode="External" /><Relationship Type="http://schemas.openxmlformats.org/officeDocument/2006/relationships/hyperlink" Id="rId155" Target="https://doi.org/10.1093/forsci/fxaa031" TargetMode="External" /><Relationship Type="http://schemas.openxmlformats.org/officeDocument/2006/relationships/hyperlink" Id="rId221" Target="https://doi.org/10.1093/jof/38.9.729" TargetMode="External" /><Relationship Type="http://schemas.openxmlformats.org/officeDocument/2006/relationships/hyperlink" Id="rId259" Target="https://doi.org/10.1093/jof/96.7.4a" TargetMode="External" /><Relationship Type="http://schemas.openxmlformats.org/officeDocument/2006/relationships/hyperlink" Id="rId257" Target="https://doi.org/10.1093/jofore/fvab026" TargetMode="External" /><Relationship Type="http://schemas.openxmlformats.org/officeDocument/2006/relationships/hyperlink" Id="rId315" Target="https://doi.org/10.1093/wjaf/12.1.21" TargetMode="External" /><Relationship Type="http://schemas.openxmlformats.org/officeDocument/2006/relationships/hyperlink" Id="rId149" Target="https://doi.org/10.1093/wjaf/24.1.24" TargetMode="External" /><Relationship Type="http://schemas.openxmlformats.org/officeDocument/2006/relationships/hyperlink" Id="rId196" Target="https://doi.org/10.1093/wjaf/7.4.103" TargetMode="External" /><Relationship Type="http://schemas.openxmlformats.org/officeDocument/2006/relationships/hyperlink" Id="rId310" Target="https://doi.org/10.1098/rstb.2015.0178" TargetMode="External" /><Relationship Type="http://schemas.openxmlformats.org/officeDocument/2006/relationships/hyperlink" Id="rId166" Target="https://doi.org/10.1111/rec.12681" TargetMode="External" /><Relationship Type="http://schemas.openxmlformats.org/officeDocument/2006/relationships/hyperlink" Id="rId147" Target="https://doi.org/10.1139/X06-271" TargetMode="External" /><Relationship Type="http://schemas.openxmlformats.org/officeDocument/2006/relationships/hyperlink" Id="rId210" Target="https://doi.org/10.1139/X08-003" TargetMode="External" /><Relationship Type="http://schemas.openxmlformats.org/officeDocument/2006/relationships/hyperlink" Id="rId168" Target="https://doi.org/10.1139/cjfr-2022-0214" TargetMode="External" /><Relationship Type="http://schemas.openxmlformats.org/officeDocument/2006/relationships/hyperlink" Id="rId189" Target="https://doi.org/10.1139/x06-206" TargetMode="External" /><Relationship Type="http://schemas.openxmlformats.org/officeDocument/2006/relationships/hyperlink" Id="rId172" Target="https://doi.org/10.1139/x26-066" TargetMode="External" /><Relationship Type="http://schemas.openxmlformats.org/officeDocument/2006/relationships/hyperlink" Id="rId276" Target="https://doi.org/10.1139/x93-073" TargetMode="External" /><Relationship Type="http://schemas.openxmlformats.org/officeDocument/2006/relationships/hyperlink" Id="rId175" Target="https://doi.org/10.1139/x93-143" TargetMode="External" /><Relationship Type="http://schemas.openxmlformats.org/officeDocument/2006/relationships/hyperlink" Id="rId145" Target="https://doi.org/10.1186/s13717-019-0181-9" TargetMode="External" /><Relationship Type="http://schemas.openxmlformats.org/officeDocument/2006/relationships/hyperlink" Id="rId139" Target="https://doi.org/10.18637/jss.v111.i09" TargetMode="External" /><Relationship Type="http://schemas.openxmlformats.org/officeDocument/2006/relationships/hyperlink" Id="rId282" Target="https://doi.org/10.2737/PSW-GTR-256" TargetMode="External" /><Relationship Type="http://schemas.openxmlformats.org/officeDocument/2006/relationships/hyperlink" Id="rId183" Target="https://doi.org/10.2737/RMRS-GTR-164" TargetMode="External" /><Relationship Type="http://schemas.openxmlformats.org/officeDocument/2006/relationships/hyperlink" Id="rId238" Target="https://doi.org/10.2737/RMRS-RP-103" TargetMode="External" /><Relationship Type="http://schemas.openxmlformats.org/officeDocument/2006/relationships/hyperlink" Id="rId159" Target="https://doi.org/10.32614/RJ-2017-066" TargetMode="External" /><Relationship Type="http://schemas.openxmlformats.org/officeDocument/2006/relationships/hyperlink" Id="rId313" Target="https://doi.org/10.3390/f16061000" TargetMode="External" /><Relationship Type="http://schemas.openxmlformats.org/officeDocument/2006/relationships/hyperlink" Id="rId267" Target="https://doi.org/10.3390/f8050144" TargetMode="External" /><Relationship Type="http://schemas.openxmlformats.org/officeDocument/2006/relationships/hyperlink" Id="rId284" Target="https://doi.org/10.3390/su152316409" TargetMode="External" /><Relationship Type="http://schemas.openxmlformats.org/officeDocument/2006/relationships/hyperlink" Id="rId244" Target="https://doi.org/10.5558/tfc78397-3" TargetMode="External" /><Relationship Type="http://schemas.openxmlformats.org/officeDocument/2006/relationships/hyperlink" Id="rId223" Target="https://doi.org/10.5849/FS-2016-029R2" TargetMode="External" /><Relationship Type="http://schemas.openxmlformats.org/officeDocument/2006/relationships/hyperlink" Id="rId294" Target="https://esajournals.onlinelibrary.wiley.com/doi/full/10.1890/07-1755.1" TargetMode="External" /><Relationship Type="http://schemas.openxmlformats.org/officeDocument/2006/relationships/hyperlink" Id="rId240" Target="https://ir.library.oregonstate.edu/downloads/70795d72s" TargetMode="External" /><Relationship Type="http://schemas.openxmlformats.org/officeDocument/2006/relationships/hyperlink" Id="rId187" Target="https://scholarworks.calstate.edu/concern/theses/ws859j014" TargetMode="External" /><Relationship Type="http://schemas.openxmlformats.org/officeDocument/2006/relationships/hyperlink" Id="rId200" Target="https://www.andrewheiss.com/blog/2022/11/29/conditional-marginal-marginaleffects/" TargetMode="External" /><Relationship Type="http://schemas.openxmlformats.org/officeDocument/2006/relationships/hyperlink" Id="rId192" Target="https://www.elibrary.ru/item.asp?id=7397149" TargetMode="External" /><Relationship Type="http://schemas.openxmlformats.org/officeDocument/2006/relationships/hyperlink" Id="rId202" Target="https://www.frontiersin.org/articles/10.3389/ffgc.2020.00078" TargetMode="External" /><Relationship Type="http://schemas.openxmlformats.org/officeDocument/2006/relationships/hyperlink" Id="rId181" Target="https://www.fs.usda.gov/database/feis/plants/tree/notden/all.html" TargetMode="External" /><Relationship Type="http://schemas.openxmlformats.org/officeDocument/2006/relationships/hyperlink" Id="rId250" Target="https://www.fs.usda.gov/research/treesearch/37978" TargetMode="External" /><Relationship Type="http://schemas.openxmlformats.org/officeDocument/2006/relationships/hyperlink" Id="rId306" Target="https://www.fs.usda.gov/research/treesearch/41828" TargetMode="External" /><Relationship Type="http://schemas.openxmlformats.org/officeDocument/2006/relationships/hyperlink" Id="rId151" Target="https://www.fs.usda.gov/treesearch/pubs/55449" TargetMode="External" /><Relationship Type="http://schemas.openxmlformats.org/officeDocument/2006/relationships/hyperlink" Id="rId280" Target="https://www.fs.usda.gov/treesearch/pubs/60134" TargetMode="External" /><Relationship Type="http://schemas.openxmlformats.org/officeDocument/2006/relationships/hyperlink" Id="rId231" Target="https://www.google.com/books/edition/Sprout_Regeneration_of_Young_growth_Redw/48fMLtW9rRgC" TargetMode="External" /><Relationship Type="http://schemas.openxmlformats.org/officeDocument/2006/relationships/hyperlink" Id="rId194"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308" Target="http://hilgardia.ucanr.edu/Abstract/?a=hilg.v54n08p017" TargetMode="External" /><Relationship Type="http://schemas.openxmlformats.org/officeDocument/2006/relationships/hyperlink" Id="rId198" Target="https://CRAN.R-project.org/package=DHARMa" TargetMode="External" /><Relationship Type="http://schemas.openxmlformats.org/officeDocument/2006/relationships/hyperlink" Id="rId227" Target="https://CRAN.R-project.org/package=emmeans" TargetMode="External" /><Relationship Type="http://schemas.openxmlformats.org/officeDocument/2006/relationships/hyperlink" Id="rId204" Target="https://academic.oup.com/jof/article-abstract/83/8/494/4647048" TargetMode="External" /><Relationship Type="http://schemas.openxmlformats.org/officeDocument/2006/relationships/hyperlink" Id="rId206" Target="https://books.google.com?id=x3tw07l1IQQC" TargetMode="External" /><Relationship Type="http://schemas.openxmlformats.org/officeDocument/2006/relationships/hyperlink" Id="rId233" Target="https://catalog.hathitrust.org/Record/010837951" TargetMode="External" /><Relationship Type="http://schemas.openxmlformats.org/officeDocument/2006/relationships/hyperlink" Id="rId246" Target="https://digitalcommons.humboldt.edu/etd/269" TargetMode="External" /><Relationship Type="http://schemas.openxmlformats.org/officeDocument/2006/relationships/hyperlink" Id="rId254" Target="https://doi.org/10.1002/ece3.3737" TargetMode="External" /><Relationship Type="http://schemas.openxmlformats.org/officeDocument/2006/relationships/hyperlink" Id="rId317" Target="https://doi.org/10.1007/978-3-319-51727-8_13-1" TargetMode="External" /><Relationship Type="http://schemas.openxmlformats.org/officeDocument/2006/relationships/hyperlink" Id="rId170" Target="https://doi.org/10.1007/BF02858075" TargetMode="External" /><Relationship Type="http://schemas.openxmlformats.org/officeDocument/2006/relationships/hyperlink" Id="rId229" Target="https://doi.org/10.1007/s00442-002-0986-5" TargetMode="External" /><Relationship Type="http://schemas.openxmlformats.org/officeDocument/2006/relationships/hyperlink" Id="rId265" Target="https://doi.org/10.1007/s10310-009-0166-0" TargetMode="External" /><Relationship Type="http://schemas.openxmlformats.org/officeDocument/2006/relationships/hyperlink" Id="rId300" Target="https://doi.org/10.1007/s10530-017-1443-z" TargetMode="External" /><Relationship Type="http://schemas.openxmlformats.org/officeDocument/2006/relationships/hyperlink" Id="rId214" Target="https://doi.org/10.1007/s10980-012-9773-9" TargetMode="External" /><Relationship Type="http://schemas.openxmlformats.org/officeDocument/2006/relationships/hyperlink" Id="rId217" Target="https://doi.org/10.1007/s11056-015-9470-z" TargetMode="External" /><Relationship Type="http://schemas.openxmlformats.org/officeDocument/2006/relationships/hyperlink" Id="rId153" Target="https://doi.org/10.1007/s11056-018-9636-6" TargetMode="External" /><Relationship Type="http://schemas.openxmlformats.org/officeDocument/2006/relationships/hyperlink" Id="rId261" Target="https://doi.org/10.1016/S0378-1127(00)00698-8" TargetMode="External" /><Relationship Type="http://schemas.openxmlformats.org/officeDocument/2006/relationships/hyperlink" Id="rId208" Target="https://doi.org/10.1016/j.agrformet.2021.108602" TargetMode="External" /><Relationship Type="http://schemas.openxmlformats.org/officeDocument/2006/relationships/hyperlink" Id="rId135" Target="https://doi.org/10.1016/j.foreco.2005.01.034" TargetMode="External" /><Relationship Type="http://schemas.openxmlformats.org/officeDocument/2006/relationships/hyperlink" Id="rId269" Target="https://doi.org/10.1016/j.foreco.2007.03.062" TargetMode="External" /><Relationship Type="http://schemas.openxmlformats.org/officeDocument/2006/relationships/hyperlink" Id="rId304" Target="https://doi.org/10.1016/j.foreco.2008.01.025" TargetMode="External" /><Relationship Type="http://schemas.openxmlformats.org/officeDocument/2006/relationships/hyperlink" Id="rId141" Target="https://doi.org/10.1016/j.foreco.2008.11.028" TargetMode="External" /><Relationship Type="http://schemas.openxmlformats.org/officeDocument/2006/relationships/hyperlink" Id="rId235" Target="https://doi.org/10.1016/j.foreco.2009.07.008" TargetMode="External" /><Relationship Type="http://schemas.openxmlformats.org/officeDocument/2006/relationships/hyperlink" Id="rId225" Target="https://doi.org/10.1016/j.foreco.2010.02.022" TargetMode="External" /><Relationship Type="http://schemas.openxmlformats.org/officeDocument/2006/relationships/hyperlink" Id="rId292" Target="https://doi.org/10.1016/j.foreco.2012.08.030" TargetMode="External" /><Relationship Type="http://schemas.openxmlformats.org/officeDocument/2006/relationships/hyperlink" Id="rId286" Target="https://doi.org/10.1016/j.foreco.2013.04.015" TargetMode="External" /><Relationship Type="http://schemas.openxmlformats.org/officeDocument/2006/relationships/hyperlink" Id="rId219" Target="https://doi.org/10.1016/j.foreco.2014.01.045" TargetMode="External" /><Relationship Type="http://schemas.openxmlformats.org/officeDocument/2006/relationships/hyperlink" Id="rId179" Target="https://doi.org/10.1016/j.foreco.2014.06.025" TargetMode="External" /><Relationship Type="http://schemas.openxmlformats.org/officeDocument/2006/relationships/hyperlink" Id="rId297" Target="https://doi.org/10.1016/j.foreco.2016.05.018" TargetMode="External" /><Relationship Type="http://schemas.openxmlformats.org/officeDocument/2006/relationships/hyperlink" Id="rId164" Target="https://doi.org/10.1016/j.foreco.2016.09.010" TargetMode="External" /><Relationship Type="http://schemas.openxmlformats.org/officeDocument/2006/relationships/hyperlink" Id="rId271" Target="https://doi.org/10.1016/j.foreco.2021.119361" TargetMode="External" /><Relationship Type="http://schemas.openxmlformats.org/officeDocument/2006/relationships/hyperlink" Id="rId252" Target="https://doi.org/10.1016/j.foreco.2022.120136" TargetMode="External" /><Relationship Type="http://schemas.openxmlformats.org/officeDocument/2006/relationships/hyperlink" Id="rId248" Target="https://doi.org/10.1016/j.foreco.2022.120236" TargetMode="External" /><Relationship Type="http://schemas.openxmlformats.org/officeDocument/2006/relationships/hyperlink" Id="rId162" Target="https://doi.org/10.1016/j.foreco.2022.120353" TargetMode="External" /><Relationship Type="http://schemas.openxmlformats.org/officeDocument/2006/relationships/hyperlink" Id="rId302" Target="https://doi.org/10.1016/j.foreco.2022.120602" TargetMode="External" /><Relationship Type="http://schemas.openxmlformats.org/officeDocument/2006/relationships/hyperlink" Id="rId185" Target="https://doi.org/10.1023/A:1006502107495" TargetMode="External" /><Relationship Type="http://schemas.openxmlformats.org/officeDocument/2006/relationships/hyperlink" Id="rId274" Target="https://doi.org/10.1029/2020GL089858" TargetMode="External" /><Relationship Type="http://schemas.openxmlformats.org/officeDocument/2006/relationships/hyperlink" Id="rId212" Target="https://doi.org/10.1071/wf01028" TargetMode="External" /><Relationship Type="http://schemas.openxmlformats.org/officeDocument/2006/relationships/hyperlink" Id="rId289" Target="https://doi.org/10.1093/forestry/75.4.329" TargetMode="External" /><Relationship Type="http://schemas.openxmlformats.org/officeDocument/2006/relationships/hyperlink" Id="rId263" Target="https://doi.org/10.1093/forestry/75.4.339" TargetMode="External" /><Relationship Type="http://schemas.openxmlformats.org/officeDocument/2006/relationships/hyperlink" Id="rId278" Target="https://doi.org/10.1093/forestscience/16.3.339" TargetMode="External" /><Relationship Type="http://schemas.openxmlformats.org/officeDocument/2006/relationships/hyperlink" Id="rId155" Target="https://doi.org/10.1093/forsci/fxaa031" TargetMode="External" /><Relationship Type="http://schemas.openxmlformats.org/officeDocument/2006/relationships/hyperlink" Id="rId221" Target="https://doi.org/10.1093/jof/38.9.729" TargetMode="External" /><Relationship Type="http://schemas.openxmlformats.org/officeDocument/2006/relationships/hyperlink" Id="rId259" Target="https://doi.org/10.1093/jof/96.7.4a" TargetMode="External" /><Relationship Type="http://schemas.openxmlformats.org/officeDocument/2006/relationships/hyperlink" Id="rId257" Target="https://doi.org/10.1093/jofore/fvab026" TargetMode="External" /><Relationship Type="http://schemas.openxmlformats.org/officeDocument/2006/relationships/hyperlink" Id="rId315" Target="https://doi.org/10.1093/wjaf/12.1.21" TargetMode="External" /><Relationship Type="http://schemas.openxmlformats.org/officeDocument/2006/relationships/hyperlink" Id="rId149" Target="https://doi.org/10.1093/wjaf/24.1.24" TargetMode="External" /><Relationship Type="http://schemas.openxmlformats.org/officeDocument/2006/relationships/hyperlink" Id="rId196" Target="https://doi.org/10.1093/wjaf/7.4.103" TargetMode="External" /><Relationship Type="http://schemas.openxmlformats.org/officeDocument/2006/relationships/hyperlink" Id="rId310" Target="https://doi.org/10.1098/rstb.2015.0178" TargetMode="External" /><Relationship Type="http://schemas.openxmlformats.org/officeDocument/2006/relationships/hyperlink" Id="rId166" Target="https://doi.org/10.1111/rec.12681" TargetMode="External" /><Relationship Type="http://schemas.openxmlformats.org/officeDocument/2006/relationships/hyperlink" Id="rId147" Target="https://doi.org/10.1139/X06-271" TargetMode="External" /><Relationship Type="http://schemas.openxmlformats.org/officeDocument/2006/relationships/hyperlink" Id="rId210" Target="https://doi.org/10.1139/X08-003" TargetMode="External" /><Relationship Type="http://schemas.openxmlformats.org/officeDocument/2006/relationships/hyperlink" Id="rId168" Target="https://doi.org/10.1139/cjfr-2022-0214" TargetMode="External" /><Relationship Type="http://schemas.openxmlformats.org/officeDocument/2006/relationships/hyperlink" Id="rId189" Target="https://doi.org/10.1139/x06-206" TargetMode="External" /><Relationship Type="http://schemas.openxmlformats.org/officeDocument/2006/relationships/hyperlink" Id="rId172" Target="https://doi.org/10.1139/x26-066" TargetMode="External" /><Relationship Type="http://schemas.openxmlformats.org/officeDocument/2006/relationships/hyperlink" Id="rId276" Target="https://doi.org/10.1139/x93-073" TargetMode="External" /><Relationship Type="http://schemas.openxmlformats.org/officeDocument/2006/relationships/hyperlink" Id="rId175" Target="https://doi.org/10.1139/x93-143" TargetMode="External" /><Relationship Type="http://schemas.openxmlformats.org/officeDocument/2006/relationships/hyperlink" Id="rId145" Target="https://doi.org/10.1186/s13717-019-0181-9" TargetMode="External" /><Relationship Type="http://schemas.openxmlformats.org/officeDocument/2006/relationships/hyperlink" Id="rId139" Target="https://doi.org/10.18637/jss.v111.i09" TargetMode="External" /><Relationship Type="http://schemas.openxmlformats.org/officeDocument/2006/relationships/hyperlink" Id="rId282" Target="https://doi.org/10.2737/PSW-GTR-256" TargetMode="External" /><Relationship Type="http://schemas.openxmlformats.org/officeDocument/2006/relationships/hyperlink" Id="rId183" Target="https://doi.org/10.2737/RMRS-GTR-164" TargetMode="External" /><Relationship Type="http://schemas.openxmlformats.org/officeDocument/2006/relationships/hyperlink" Id="rId238" Target="https://doi.org/10.2737/RMRS-RP-103" TargetMode="External" /><Relationship Type="http://schemas.openxmlformats.org/officeDocument/2006/relationships/hyperlink" Id="rId159" Target="https://doi.org/10.32614/RJ-2017-066" TargetMode="External" /><Relationship Type="http://schemas.openxmlformats.org/officeDocument/2006/relationships/hyperlink" Id="rId313" Target="https://doi.org/10.3390/f16061000" TargetMode="External" /><Relationship Type="http://schemas.openxmlformats.org/officeDocument/2006/relationships/hyperlink" Id="rId267" Target="https://doi.org/10.3390/f8050144" TargetMode="External" /><Relationship Type="http://schemas.openxmlformats.org/officeDocument/2006/relationships/hyperlink" Id="rId284" Target="https://doi.org/10.3390/su152316409" TargetMode="External" /><Relationship Type="http://schemas.openxmlformats.org/officeDocument/2006/relationships/hyperlink" Id="rId244" Target="https://doi.org/10.5558/tfc78397-3" TargetMode="External" /><Relationship Type="http://schemas.openxmlformats.org/officeDocument/2006/relationships/hyperlink" Id="rId223" Target="https://doi.org/10.5849/FS-2016-029R2" TargetMode="External" /><Relationship Type="http://schemas.openxmlformats.org/officeDocument/2006/relationships/hyperlink" Id="rId294" Target="https://esajournals.onlinelibrary.wiley.com/doi/full/10.1890/07-1755.1" TargetMode="External" /><Relationship Type="http://schemas.openxmlformats.org/officeDocument/2006/relationships/hyperlink" Id="rId240" Target="https://ir.library.oregonstate.edu/downloads/70795d72s" TargetMode="External" /><Relationship Type="http://schemas.openxmlformats.org/officeDocument/2006/relationships/hyperlink" Id="rId187" Target="https://scholarworks.calstate.edu/concern/theses/ws859j014" TargetMode="External" /><Relationship Type="http://schemas.openxmlformats.org/officeDocument/2006/relationships/hyperlink" Id="rId200" Target="https://www.andrewheiss.com/blog/2022/11/29/conditional-marginal-marginaleffects/" TargetMode="External" /><Relationship Type="http://schemas.openxmlformats.org/officeDocument/2006/relationships/hyperlink" Id="rId192" Target="https://www.elibrary.ru/item.asp?id=7397149" TargetMode="External" /><Relationship Type="http://schemas.openxmlformats.org/officeDocument/2006/relationships/hyperlink" Id="rId202" Target="https://www.frontiersin.org/articles/10.3389/ffgc.2020.00078" TargetMode="External" /><Relationship Type="http://schemas.openxmlformats.org/officeDocument/2006/relationships/hyperlink" Id="rId181" Target="https://www.fs.usda.gov/database/feis/plants/tree/notden/all.html" TargetMode="External" /><Relationship Type="http://schemas.openxmlformats.org/officeDocument/2006/relationships/hyperlink" Id="rId250" Target="https://www.fs.usda.gov/research/treesearch/37978" TargetMode="External" /><Relationship Type="http://schemas.openxmlformats.org/officeDocument/2006/relationships/hyperlink" Id="rId306" Target="https://www.fs.usda.gov/research/treesearch/41828" TargetMode="External" /><Relationship Type="http://schemas.openxmlformats.org/officeDocument/2006/relationships/hyperlink" Id="rId151" Target="https://www.fs.usda.gov/treesearch/pubs/55449" TargetMode="External" /><Relationship Type="http://schemas.openxmlformats.org/officeDocument/2006/relationships/hyperlink" Id="rId280" Target="https://www.fs.usda.gov/treesearch/pubs/60134" TargetMode="External" /><Relationship Type="http://schemas.openxmlformats.org/officeDocument/2006/relationships/hyperlink" Id="rId231" Target="https://www.google.com/books/edition/Sprout_Regeneration_of_Young_growth_Redw/48fMLtW9rRgC" TargetMode="External" /><Relationship Type="http://schemas.openxmlformats.org/officeDocument/2006/relationships/hyperlink" Id="rId194"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2025-11-07T16:02:00Z</dcterms:created>
  <dcterms:modified xsi:type="dcterms:W3CDTF">2025-11-07T16:02:00Z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November 7, 2025</vt:lpwstr>
  </property>
  <property fmtid="{D5CDD505-2E9C-101B-9397-08002B2CF9AE}" pid="11" name="date-format">
    <vt:lpwstr>long</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